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4F6" w:rsidRPr="003E0468" w:rsidRDefault="004103DF" w:rsidP="003E0468">
      <w:pPr>
        <w:jc w:val="center"/>
        <w:rPr>
          <w:b/>
          <w:bCs/>
          <w:sz w:val="28"/>
          <w:szCs w:val="28"/>
        </w:rPr>
      </w:pPr>
      <w:r>
        <w:rPr>
          <w:b/>
          <w:bCs/>
          <w:sz w:val="28"/>
          <w:szCs w:val="28"/>
        </w:rPr>
        <w:t>Gluteal Bölgeye Kas İçi Enjeksiyon</w:t>
      </w:r>
      <w:r w:rsidR="00DF4592">
        <w:rPr>
          <w:b/>
          <w:bCs/>
          <w:sz w:val="28"/>
          <w:szCs w:val="28"/>
        </w:rPr>
        <w:t xml:space="preserve"> Uygulama</w:t>
      </w:r>
      <w:r w:rsidR="003E0468" w:rsidRPr="003E0468">
        <w:rPr>
          <w:b/>
          <w:bCs/>
          <w:sz w:val="28"/>
          <w:szCs w:val="28"/>
        </w:rPr>
        <w:t xml:space="preserve"> Becerisi</w:t>
      </w:r>
    </w:p>
    <w:p w:rsidR="007F32DE" w:rsidRDefault="007F32DE" w:rsidP="003B1A9F">
      <w:pPr>
        <w:jc w:val="both"/>
        <w:rPr>
          <w:b/>
          <w:bCs/>
        </w:rPr>
      </w:pPr>
    </w:p>
    <w:p w:rsidR="00FE2F6C" w:rsidRDefault="00FE2F6C" w:rsidP="00B53930">
      <w:pPr>
        <w:jc w:val="both"/>
      </w:pPr>
      <w:r w:rsidRPr="00081EA8">
        <w:rPr>
          <w:b/>
          <w:bCs/>
        </w:rPr>
        <w:t>Kullanılacak Araç-Gereçler:</w:t>
      </w:r>
      <w:r w:rsidR="003E0468">
        <w:rPr>
          <w:b/>
          <w:bCs/>
        </w:rPr>
        <w:t xml:space="preserve"> </w:t>
      </w:r>
      <w:r w:rsidR="004103DF" w:rsidRPr="004103DF">
        <w:t xml:space="preserve">Tek </w:t>
      </w:r>
      <w:r w:rsidR="00113800">
        <w:t xml:space="preserve">kullanımlık </w:t>
      </w:r>
      <w:r w:rsidR="004103DF">
        <w:t>eldiven, enjektör, antiseptik</w:t>
      </w:r>
      <w:r w:rsidR="00896BB3">
        <w:t xml:space="preserve"> (%70’lik etil alkol), kuru pamuk</w:t>
      </w:r>
      <w:r w:rsidR="007B44DA">
        <w:t xml:space="preserve">, </w:t>
      </w:r>
      <w:r w:rsidR="00B53930">
        <w:t xml:space="preserve">ampul ve/veya </w:t>
      </w:r>
      <w:r w:rsidR="007B44DA">
        <w:t>flakon</w:t>
      </w:r>
    </w:p>
    <w:p w:rsidR="007F32DE" w:rsidRDefault="007F32DE" w:rsidP="003E0468">
      <w:pPr>
        <w:jc w:val="both"/>
        <w:rPr>
          <w:b/>
          <w:bCs/>
        </w:rPr>
      </w:pPr>
    </w:p>
    <w:p w:rsidR="003E0468" w:rsidRDefault="003E0468" w:rsidP="004103DF">
      <w:pPr>
        <w:jc w:val="both"/>
      </w:pPr>
      <w:r w:rsidRPr="00585B1F">
        <w:rPr>
          <w:b/>
          <w:bCs/>
        </w:rPr>
        <w:t>Anahtar Kelimeler:</w:t>
      </w:r>
      <w:r>
        <w:t xml:space="preserve"> </w:t>
      </w:r>
      <w:r w:rsidR="00D62A86">
        <w:t xml:space="preserve">kas içi </w:t>
      </w:r>
      <w:proofErr w:type="gramStart"/>
      <w:r w:rsidR="00D62A86">
        <w:t>enjeksiyon</w:t>
      </w:r>
      <w:proofErr w:type="gramEnd"/>
      <w:r w:rsidR="00D62A86">
        <w:t xml:space="preserve"> (</w:t>
      </w:r>
      <w:r w:rsidR="00D62A86" w:rsidRPr="00D62A86">
        <w:rPr>
          <w:i/>
          <w:iCs/>
        </w:rPr>
        <w:t>intramuscular injection</w:t>
      </w:r>
      <w:r w:rsidR="00D62A86">
        <w:t xml:space="preserve">), </w:t>
      </w:r>
      <w:r w:rsidR="000909F2">
        <w:t>ampul (</w:t>
      </w:r>
      <w:r w:rsidR="000909F2" w:rsidRPr="00D62A86">
        <w:rPr>
          <w:i/>
          <w:iCs/>
        </w:rPr>
        <w:t>ampoule</w:t>
      </w:r>
      <w:r w:rsidR="000909F2">
        <w:t>), flakon (</w:t>
      </w:r>
      <w:r w:rsidR="000909F2" w:rsidRPr="00D62A86">
        <w:rPr>
          <w:i/>
          <w:iCs/>
        </w:rPr>
        <w:t>vial</w:t>
      </w:r>
      <w:r w:rsidR="00B53930">
        <w:t>)</w:t>
      </w:r>
    </w:p>
    <w:p w:rsidR="007F32DE" w:rsidRDefault="007F32DE" w:rsidP="003B1A9F">
      <w:pPr>
        <w:jc w:val="both"/>
        <w:rPr>
          <w:b/>
          <w:bCs/>
        </w:rPr>
      </w:pPr>
    </w:p>
    <w:p w:rsidR="00FE2F6C" w:rsidRPr="00081EA8" w:rsidRDefault="00FE2F6C" w:rsidP="003B1A9F">
      <w:pPr>
        <w:jc w:val="both"/>
        <w:rPr>
          <w:b/>
          <w:bCs/>
        </w:rPr>
      </w:pPr>
      <w:r w:rsidRPr="00081EA8">
        <w:rPr>
          <w:b/>
          <w:bCs/>
        </w:rPr>
        <w:t>Öğrenim Hedefleri:</w:t>
      </w:r>
    </w:p>
    <w:p w:rsidR="00FE2F6C" w:rsidRPr="00081EA8" w:rsidRDefault="00DF048A" w:rsidP="003B1A9F">
      <w:pPr>
        <w:pStyle w:val="ListeParagraf"/>
        <w:numPr>
          <w:ilvl w:val="0"/>
          <w:numId w:val="1"/>
        </w:numPr>
        <w:jc w:val="both"/>
        <w:rPr>
          <w:b/>
          <w:bCs/>
        </w:rPr>
      </w:pPr>
      <w:r>
        <w:rPr>
          <w:b/>
          <w:bCs/>
        </w:rPr>
        <w:t>Bilgi Hedefleri</w:t>
      </w:r>
    </w:p>
    <w:p w:rsidR="004103DF" w:rsidRPr="00B53930" w:rsidRDefault="00D62A86" w:rsidP="004103DF">
      <w:pPr>
        <w:jc w:val="both"/>
      </w:pPr>
      <w:r w:rsidRPr="00B53930">
        <w:t xml:space="preserve">– </w:t>
      </w:r>
      <w:r w:rsidR="00B53930">
        <w:t xml:space="preserve">Gluteal </w:t>
      </w:r>
      <w:proofErr w:type="gramStart"/>
      <w:r w:rsidR="00B53930">
        <w:t>enjeksiyon</w:t>
      </w:r>
      <w:proofErr w:type="gramEnd"/>
      <w:r w:rsidR="00B53930">
        <w:t xml:space="preserve"> bölgelerini tanımlayabilme</w:t>
      </w:r>
    </w:p>
    <w:p w:rsidR="00D62A86" w:rsidRPr="00B53930" w:rsidRDefault="00D62A86" w:rsidP="00B53930">
      <w:pPr>
        <w:jc w:val="both"/>
      </w:pPr>
      <w:r w:rsidRPr="00B53930">
        <w:t xml:space="preserve">– </w:t>
      </w:r>
      <w:r w:rsidR="00B53930">
        <w:t xml:space="preserve">Gluteal </w:t>
      </w:r>
      <w:proofErr w:type="gramStart"/>
      <w:r w:rsidR="00B53930">
        <w:t>enjeksiyon</w:t>
      </w:r>
      <w:proofErr w:type="gramEnd"/>
      <w:r w:rsidR="00B53930">
        <w:t xml:space="preserve"> yöntemleri arasındaki farkları sayabilme</w:t>
      </w:r>
    </w:p>
    <w:p w:rsidR="005341A5" w:rsidRDefault="00D62A86" w:rsidP="00B53930">
      <w:pPr>
        <w:jc w:val="both"/>
      </w:pPr>
      <w:r w:rsidRPr="00B53930">
        <w:t xml:space="preserve">– </w:t>
      </w:r>
      <w:r w:rsidR="00B53930">
        <w:t xml:space="preserve">Gluteal </w:t>
      </w:r>
      <w:proofErr w:type="gramStart"/>
      <w:r w:rsidR="00B53930">
        <w:t>enjeksiyon</w:t>
      </w:r>
      <w:proofErr w:type="gramEnd"/>
      <w:r w:rsidR="00B53930">
        <w:t xml:space="preserve"> aşamalarını sıralayabilme</w:t>
      </w:r>
    </w:p>
    <w:p w:rsidR="00FE2F6C" w:rsidRPr="00081EA8" w:rsidRDefault="00DF048A" w:rsidP="003B1A9F">
      <w:pPr>
        <w:pStyle w:val="ListeParagraf"/>
        <w:numPr>
          <w:ilvl w:val="0"/>
          <w:numId w:val="1"/>
        </w:numPr>
        <w:jc w:val="both"/>
        <w:rPr>
          <w:b/>
          <w:bCs/>
        </w:rPr>
      </w:pPr>
      <w:r>
        <w:rPr>
          <w:b/>
          <w:bCs/>
        </w:rPr>
        <w:t>Beceri Hedefleri</w:t>
      </w:r>
    </w:p>
    <w:p w:rsidR="00FE2F6C" w:rsidRDefault="00FE2F6C" w:rsidP="004103DF">
      <w:pPr>
        <w:jc w:val="both"/>
      </w:pPr>
      <w:r>
        <w:t xml:space="preserve">– </w:t>
      </w:r>
      <w:r w:rsidR="00B53930">
        <w:t xml:space="preserve">Dorsogluteal </w:t>
      </w:r>
      <w:proofErr w:type="gramStart"/>
      <w:r w:rsidR="00B53930">
        <w:t>enjeksiyon</w:t>
      </w:r>
      <w:proofErr w:type="gramEnd"/>
      <w:r w:rsidR="003546FD">
        <w:t xml:space="preserve"> </w:t>
      </w:r>
      <w:r w:rsidR="00D62A86">
        <w:t>uygulayabilme</w:t>
      </w:r>
    </w:p>
    <w:p w:rsidR="00B53930" w:rsidRDefault="00B53930" w:rsidP="00B53930">
      <w:pPr>
        <w:jc w:val="both"/>
      </w:pPr>
      <w:r>
        <w:t xml:space="preserve">– Ventrogluteal </w:t>
      </w:r>
      <w:proofErr w:type="gramStart"/>
      <w:r>
        <w:t>enjeksiyon</w:t>
      </w:r>
      <w:proofErr w:type="gramEnd"/>
      <w:r>
        <w:t xml:space="preserve"> uygulayabilme</w:t>
      </w:r>
    </w:p>
    <w:p w:rsidR="002A50AB" w:rsidRDefault="002A50AB" w:rsidP="003B1A9F">
      <w:pPr>
        <w:jc w:val="both"/>
      </w:pPr>
    </w:p>
    <w:p w:rsidR="009B21CA" w:rsidRPr="00081EA8" w:rsidRDefault="009B21CA" w:rsidP="003B1A9F">
      <w:pPr>
        <w:jc w:val="both"/>
        <w:rPr>
          <w:b/>
          <w:bCs/>
        </w:rPr>
      </w:pPr>
      <w:r w:rsidRPr="00081EA8">
        <w:rPr>
          <w:b/>
          <w:bCs/>
        </w:rPr>
        <w:t>Ölçme-Değerlendirme:</w:t>
      </w:r>
    </w:p>
    <w:p w:rsidR="002A50AB" w:rsidRDefault="00081EA8" w:rsidP="003546FD">
      <w:pPr>
        <w:jc w:val="both"/>
      </w:pPr>
      <w:r>
        <w:t>Bilgi hedeflerine ulaşılıp ulaşılamadığı</w:t>
      </w:r>
      <w:r w:rsidRPr="00081EA8">
        <w:t xml:space="preserve"> </w:t>
      </w:r>
      <w:r>
        <w:t xml:space="preserve">çoktan seçmeli teorik sınav </w:t>
      </w:r>
      <w:proofErr w:type="gramStart"/>
      <w:r>
        <w:t>ile,</w:t>
      </w:r>
      <w:proofErr w:type="gramEnd"/>
      <w:r>
        <w:t xml:space="preserve"> beceri hedeflerine ulaşılıp ulaşılamadığı</w:t>
      </w:r>
      <w:r w:rsidR="009B21CA">
        <w:t xml:space="preserve"> </w:t>
      </w:r>
      <w:r w:rsidR="003B1A9F">
        <w:t xml:space="preserve">ise </w:t>
      </w:r>
      <w:r>
        <w:t xml:space="preserve">uygulama yaptırılarak </w:t>
      </w:r>
      <w:r w:rsidR="003546FD">
        <w:t>değerlendirilecektir.</w:t>
      </w:r>
    </w:p>
    <w:p w:rsidR="004957EA" w:rsidRDefault="004957EA" w:rsidP="003B1A9F">
      <w:pPr>
        <w:jc w:val="both"/>
        <w:rPr>
          <w:b/>
          <w:bCs/>
        </w:rPr>
      </w:pPr>
    </w:p>
    <w:p w:rsidR="002A50AB" w:rsidRDefault="002A50AB" w:rsidP="003B1A9F">
      <w:pPr>
        <w:jc w:val="both"/>
        <w:rPr>
          <w:b/>
          <w:bCs/>
        </w:rPr>
      </w:pPr>
      <w:r w:rsidRPr="007F32DE">
        <w:rPr>
          <w:b/>
          <w:bCs/>
        </w:rPr>
        <w:t>Teorik Bilgi:</w:t>
      </w:r>
    </w:p>
    <w:p w:rsidR="005569B4" w:rsidRPr="00DF048A" w:rsidRDefault="005569B4" w:rsidP="00DF048A">
      <w:pPr>
        <w:pStyle w:val="ListeParagraf"/>
        <w:numPr>
          <w:ilvl w:val="0"/>
          <w:numId w:val="1"/>
        </w:numPr>
        <w:jc w:val="both"/>
        <w:rPr>
          <w:b/>
          <w:bCs/>
        </w:rPr>
      </w:pPr>
      <w:r w:rsidRPr="00DF048A">
        <w:rPr>
          <w:b/>
          <w:bCs/>
        </w:rPr>
        <w:t>İlaç Uygulama Yolları</w:t>
      </w:r>
    </w:p>
    <w:p w:rsidR="008812EF" w:rsidRDefault="005569B4" w:rsidP="005569B4">
      <w:pPr>
        <w:jc w:val="both"/>
      </w:pPr>
      <w:r>
        <w:t xml:space="preserve">Sistemik etki göstermesi istenen bir </w:t>
      </w:r>
      <w:r w:rsidR="00533A5B">
        <w:t>ilacın sindirim kanalı dışında</w:t>
      </w:r>
      <w:r w:rsidR="00533A5B" w:rsidRPr="00533A5B">
        <w:t xml:space="preserve"> bir yoll</w:t>
      </w:r>
      <w:r w:rsidR="00533A5B">
        <w:t>a (</w:t>
      </w:r>
      <w:r w:rsidR="00533A5B" w:rsidRPr="00533A5B">
        <w:t>deri içi</w:t>
      </w:r>
      <w:r w:rsidR="00533A5B">
        <w:t xml:space="preserve">, deri altı, damar içi, </w:t>
      </w:r>
      <w:r w:rsidR="00533A5B" w:rsidRPr="00533A5B">
        <w:t>kas içi</w:t>
      </w:r>
      <w:r w:rsidR="00533A5B">
        <w:rPr>
          <w:rStyle w:val="DipnotBavurusu"/>
        </w:rPr>
        <w:footnoteReference w:id="1"/>
      </w:r>
      <w:r w:rsidR="00533A5B">
        <w:t>) verilmesine parenteral uygulama adı verilir. Parenteral yolla verilen ilaçlar, oral yolla (perioral) verilen ilaçlara göre daha hızlı absorbe edilir.</w:t>
      </w:r>
      <w:r>
        <w:t xml:space="preserve"> </w:t>
      </w:r>
      <w:r w:rsidR="008812EF">
        <w:t>Erişkin kas içi ilaç uygulamalarında deltoid ya da gluteal kaslar tercih edilmektedir. Gluteal kaslar</w:t>
      </w:r>
      <w:r>
        <w:t>,</w:t>
      </w:r>
      <w:r w:rsidR="008812EF" w:rsidRPr="008812EF">
        <w:t xml:space="preserve"> </w:t>
      </w:r>
      <w:r>
        <w:t xml:space="preserve">deltoide göre </w:t>
      </w:r>
      <w:r w:rsidR="008812EF" w:rsidRPr="008812EF">
        <w:t>daha büyük hacimle</w:t>
      </w:r>
      <w:r>
        <w:t xml:space="preserve">rde sıvı </w:t>
      </w:r>
      <w:proofErr w:type="gramStart"/>
      <w:r>
        <w:t>enjeksiyonuna</w:t>
      </w:r>
      <w:proofErr w:type="gramEnd"/>
      <w:r>
        <w:t xml:space="preserve"> izin verir.</w:t>
      </w:r>
    </w:p>
    <w:p w:rsidR="008812EF" w:rsidRPr="00DF048A" w:rsidRDefault="00DF048A" w:rsidP="00DF048A">
      <w:pPr>
        <w:pStyle w:val="ListeParagraf"/>
        <w:numPr>
          <w:ilvl w:val="0"/>
          <w:numId w:val="1"/>
        </w:numPr>
        <w:jc w:val="both"/>
        <w:rPr>
          <w:b/>
          <w:bCs/>
        </w:rPr>
      </w:pPr>
      <w:r w:rsidRPr="00DF048A">
        <w:rPr>
          <w:b/>
          <w:bCs/>
        </w:rPr>
        <w:lastRenderedPageBreak/>
        <w:t>Enjektör ve İğnenin</w:t>
      </w:r>
      <w:r w:rsidR="005569B4" w:rsidRPr="00DF048A">
        <w:rPr>
          <w:b/>
          <w:bCs/>
        </w:rPr>
        <w:t xml:space="preserve"> </w:t>
      </w:r>
      <w:r>
        <w:rPr>
          <w:b/>
          <w:bCs/>
        </w:rPr>
        <w:t>Özellikleri</w:t>
      </w:r>
    </w:p>
    <w:p w:rsidR="00FC6199" w:rsidRDefault="0072359E" w:rsidP="005569B4">
      <w:pPr>
        <w:jc w:val="center"/>
        <w:rPr>
          <w:b/>
          <w:bCs/>
        </w:rPr>
      </w:pPr>
      <w:r w:rsidRPr="0072359E">
        <w:rPr>
          <w:b/>
          <w:bCs/>
          <w:noProof/>
          <w:lang w:eastAsia="tr-TR"/>
        </w:rPr>
        <w:drawing>
          <wp:inline distT="0" distB="0" distL="0" distR="0" wp14:anchorId="11EAB00A" wp14:editId="73702880">
            <wp:extent cx="3771900" cy="3907234"/>
            <wp:effectExtent l="0" t="0" r="0" b="0"/>
            <wp:docPr id="6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 name="Picture 1"/>
                    <pic:cNvPicPr>
                      <a:picLocks noChangeAspect="1" noChangeArrowheads="1"/>
                    </pic:cNvPicPr>
                  </pic:nvPicPr>
                  <pic:blipFill>
                    <a:blip r:embed="rId9" cstate="print"/>
                    <a:srcRect/>
                    <a:stretch>
                      <a:fillRect/>
                    </a:stretch>
                  </pic:blipFill>
                  <pic:spPr bwMode="auto">
                    <a:xfrm>
                      <a:off x="0" y="0"/>
                      <a:ext cx="3770084" cy="3905353"/>
                    </a:xfrm>
                    <a:prstGeom prst="rect">
                      <a:avLst/>
                    </a:prstGeom>
                    <a:noFill/>
                    <a:ln w="9525">
                      <a:noFill/>
                      <a:miter lim="800000"/>
                      <a:headEnd/>
                      <a:tailEnd/>
                    </a:ln>
                  </pic:spPr>
                </pic:pic>
              </a:graphicData>
            </a:graphic>
          </wp:inline>
        </w:drawing>
      </w:r>
    </w:p>
    <w:p w:rsidR="00D62A86" w:rsidRPr="00D62A86" w:rsidRDefault="0072359E" w:rsidP="005569B4">
      <w:pPr>
        <w:jc w:val="both"/>
      </w:pPr>
      <w:r>
        <w:t>İğneler, gövde dış çapına (outer diameter, OD) göre gauge (ölçü) cinsinden tanımlanır. 10’dan 32’ye kadar gauge numaraları mevcuttur. Gauge numaraları büyüdükçe dış çap küçülür. İğnenin gauge numarası, iğnenin kök (kabza) kısmındaki renkle ifade edilir. İğne uzunlukları ise inçle ifade edilir (</w:t>
      </w:r>
      <w:r w:rsidRPr="0072359E">
        <w:t>1 inç/inch (1") = 2,54 cm = 25,4 mm</w:t>
      </w:r>
      <w:r>
        <w:t>).</w:t>
      </w:r>
      <w:r w:rsidR="005569B4">
        <w:t xml:space="preserve"> </w:t>
      </w:r>
      <w:r w:rsidR="00D62A86">
        <w:t>İ</w:t>
      </w:r>
      <w:r w:rsidR="00595890">
        <w:t xml:space="preserve">ntramüsküler </w:t>
      </w:r>
      <w:proofErr w:type="gramStart"/>
      <w:r w:rsidR="00D62A86">
        <w:t>enjeksiyonlar</w:t>
      </w:r>
      <w:proofErr w:type="gramEnd"/>
      <w:r w:rsidR="00D62A86">
        <w:t xml:space="preserve"> için </w:t>
      </w:r>
      <w:r w:rsidR="00D62A86" w:rsidRPr="00D62A86">
        <w:t>20-25 gauge</w:t>
      </w:r>
      <w:r w:rsidR="00D7120D">
        <w:t>,</w:t>
      </w:r>
      <w:r w:rsidR="00D62A86" w:rsidRPr="00D62A86">
        <w:t xml:space="preserve"> </w:t>
      </w:r>
      <w:r w:rsidR="00595890">
        <w:t>16-</w:t>
      </w:r>
      <w:r w:rsidR="00D62A86" w:rsidRPr="00D62A86">
        <w:t>38 mm</w:t>
      </w:r>
      <w:r w:rsidR="00D7120D">
        <w:t xml:space="preserve"> (5/8’’ – 1 ½’’ </w:t>
      </w:r>
      <w:r w:rsidR="005569B4">
        <w:t>inç) iğne uçları kullanılmaktadır</w:t>
      </w:r>
      <w:r w:rsidR="00D7120D">
        <w:t xml:space="preserve">. </w:t>
      </w:r>
    </w:p>
    <w:p w:rsidR="00DF048A" w:rsidRPr="005569B4" w:rsidRDefault="00DF048A" w:rsidP="00DF048A">
      <w:pPr>
        <w:jc w:val="both"/>
      </w:pPr>
    </w:p>
    <w:p w:rsidR="00AF62F7" w:rsidRDefault="00AF4C25" w:rsidP="004C104D">
      <w:pPr>
        <w:jc w:val="both"/>
        <w:rPr>
          <w:b/>
          <w:bCs/>
        </w:rPr>
      </w:pPr>
      <w:r w:rsidRPr="001B675A">
        <w:rPr>
          <w:b/>
          <w:bCs/>
        </w:rPr>
        <w:t>Uygulama Basamakları:</w:t>
      </w:r>
    </w:p>
    <w:p w:rsidR="00436858" w:rsidRDefault="002E1305" w:rsidP="001B675A">
      <w:pPr>
        <w:jc w:val="both"/>
      </w:pPr>
      <w:r w:rsidRPr="002E1305">
        <w:t>1-</w:t>
      </w:r>
      <w:r>
        <w:t xml:space="preserve"> </w:t>
      </w:r>
      <w:r w:rsidR="001B675A">
        <w:t>Ellerin yıkanması ve eldiven giyilmesi</w:t>
      </w:r>
    </w:p>
    <w:p w:rsidR="004124E9" w:rsidRDefault="004124E9" w:rsidP="001B675A">
      <w:pPr>
        <w:jc w:val="both"/>
      </w:pPr>
      <w:r>
        <w:t xml:space="preserve">2- </w:t>
      </w:r>
      <w:r w:rsidR="004103DF">
        <w:t>E</w:t>
      </w:r>
      <w:r w:rsidR="001B675A">
        <w:t>njekte edilecek ilacın hazırlanması</w:t>
      </w:r>
      <w:r w:rsidR="0002149E">
        <w:t xml:space="preserve"> ve enjektöre çekilmesi</w:t>
      </w:r>
    </w:p>
    <w:p w:rsidR="008D1B74" w:rsidRDefault="008D1B74" w:rsidP="008D1B74">
      <w:pPr>
        <w:pStyle w:val="ListeParagraf"/>
        <w:numPr>
          <w:ilvl w:val="0"/>
          <w:numId w:val="16"/>
        </w:numPr>
        <w:jc w:val="both"/>
      </w:pPr>
      <w:r>
        <w:t>İlaç uygulamalarında sekiz doğru</w:t>
      </w:r>
      <w:r w:rsidR="00D53849">
        <w:rPr>
          <w:rStyle w:val="DipnotBavurusu"/>
        </w:rPr>
        <w:footnoteReference w:id="2"/>
      </w:r>
      <w:r>
        <w:t xml:space="preserve"> kuralı vardır: doğru ilaç, doğru doz, doğru hasta, doğru zaman, doğru yol, doğru ilaç şekli, doğru kayıt, doğru yanıt.</w:t>
      </w:r>
    </w:p>
    <w:p w:rsidR="00DF048A" w:rsidRDefault="00DF048A" w:rsidP="008D1B74">
      <w:pPr>
        <w:pStyle w:val="ListeParagraf"/>
        <w:numPr>
          <w:ilvl w:val="0"/>
          <w:numId w:val="16"/>
        </w:numPr>
        <w:jc w:val="both"/>
      </w:pPr>
      <w:r>
        <w:t>Enjekte edilecek ilaçlar ampul</w:t>
      </w:r>
      <w:r>
        <w:rPr>
          <w:rStyle w:val="DipnotBavurusu"/>
        </w:rPr>
        <w:footnoteReference w:id="3"/>
      </w:r>
      <w:r>
        <w:t xml:space="preserve"> ve/veya flakon</w:t>
      </w:r>
      <w:r>
        <w:rPr>
          <w:rStyle w:val="DipnotBavurusu"/>
        </w:rPr>
        <w:footnoteReference w:id="4"/>
      </w:r>
      <w:r>
        <w:t xml:space="preserve"> halinde piyasaya sunulur.</w:t>
      </w:r>
    </w:p>
    <w:p w:rsidR="008D1B74" w:rsidRDefault="008D1B74" w:rsidP="00767AF6">
      <w:pPr>
        <w:pStyle w:val="ListeParagraf"/>
        <w:numPr>
          <w:ilvl w:val="0"/>
          <w:numId w:val="16"/>
        </w:numPr>
        <w:jc w:val="both"/>
      </w:pPr>
      <w:r>
        <w:lastRenderedPageBreak/>
        <w:t>Kullanmadan önce ilacın son kull</w:t>
      </w:r>
      <w:r w:rsidR="001A5AE8">
        <w:t>anma tarihine bakılmalı, ilacın tüpünde/şişesinde</w:t>
      </w:r>
      <w:r>
        <w:t xml:space="preserve"> çatlak olup olmadığı ve sıvı </w:t>
      </w:r>
      <w:r w:rsidR="00767AF6">
        <w:t>haldeki ilaçların içerisinde</w:t>
      </w:r>
      <w:r>
        <w:t xml:space="preserve"> tortu </w:t>
      </w:r>
      <w:r w:rsidR="00767AF6">
        <w:t xml:space="preserve">bulunup bulunmadığı </w:t>
      </w:r>
      <w:r>
        <w:t>kontrol edilmelidir.</w:t>
      </w:r>
    </w:p>
    <w:p w:rsidR="00AE0E50" w:rsidRDefault="00767AF6" w:rsidP="00767AF6">
      <w:pPr>
        <w:pStyle w:val="ListeParagraf"/>
        <w:numPr>
          <w:ilvl w:val="0"/>
          <w:numId w:val="16"/>
        </w:numPr>
        <w:jc w:val="both"/>
      </w:pPr>
      <w:r>
        <w:t>A</w:t>
      </w:r>
      <w:r w:rsidR="00A632DC" w:rsidRPr="00925C44">
        <w:t>mpulün</w:t>
      </w:r>
      <w:r w:rsidR="00A632DC">
        <w:t xml:space="preserve"> baş kısmında </w:t>
      </w:r>
      <w:r>
        <w:t xml:space="preserve">sıvı </w:t>
      </w:r>
      <w:r w:rsidR="00A632DC">
        <w:t>varsa parmakla fiske vurarak gövdeye inmesi sağlanır.</w:t>
      </w:r>
      <w:r>
        <w:t xml:space="preserve"> </w:t>
      </w:r>
      <w:r w:rsidR="00E0436F">
        <w:t>Ampullerin boyun kısmı</w:t>
      </w:r>
      <w:r>
        <w:t>;</w:t>
      </w:r>
      <w:r w:rsidR="00E0436F">
        <w:t xml:space="preserve"> noktalı, çizgili ya da bunların her ikisinin de olmadığı</w:t>
      </w:r>
      <w:r>
        <w:t xml:space="preserve"> şekilde üretilmiş olabilir. </w:t>
      </w:r>
      <w:r w:rsidR="00E0436F">
        <w:t>Noktalı ampullerde</w:t>
      </w:r>
      <w:r>
        <w:t>,</w:t>
      </w:r>
      <w:r w:rsidR="00E0436F">
        <w:t xml:space="preserve"> nokta bize bakacak şekilde ampul tutulur. Daha sonra dominant elin başparmağı</w:t>
      </w:r>
      <w:r w:rsidR="00E0436F" w:rsidRPr="00E0436F">
        <w:t xml:space="preserve"> noktanın biraz ü</w:t>
      </w:r>
      <w:r>
        <w:t>zerind</w:t>
      </w:r>
      <w:r w:rsidR="00973102">
        <w:t>e</w:t>
      </w:r>
      <w:r>
        <w:t xml:space="preserve"> olacak </w:t>
      </w:r>
      <w:r w:rsidR="00973102">
        <w:t>ve işaret parmağı da karşı tarafı sıkıca tutacak şekilde yerleştirilir. Ampulün başı karşı tarafa itilerek boyun kısmı kırılır. Eğer ampulün noktası bize doğru dönük olmazsa, ampul noktadan uzak tutulursa ya da ampul tek elle açılmaya çalışılırsa, o takdirde, ampulün baş ve boyun kısmı kesme işlemi sırasında zarar görebilir</w:t>
      </w:r>
      <w:r w:rsidR="00973102" w:rsidRPr="00973102">
        <w:t xml:space="preserve"> </w:t>
      </w:r>
      <w:r w:rsidR="00973102">
        <w:t>ve istenmeyen bir sonuç ortaya çıkabilir.</w:t>
      </w:r>
      <w:r>
        <w:t xml:space="preserve"> </w:t>
      </w:r>
      <w:r w:rsidR="0092078D">
        <w:t xml:space="preserve">Çizgili ampullerde </w:t>
      </w:r>
      <w:r w:rsidR="0092078D" w:rsidRPr="0092078D">
        <w:t>her</w:t>
      </w:r>
      <w:r w:rsidR="0092078D">
        <w:t>hangi bir</w:t>
      </w:r>
      <w:r w:rsidR="0092078D" w:rsidRPr="0092078D">
        <w:t xml:space="preserve"> yerden k</w:t>
      </w:r>
      <w:r w:rsidR="0092078D">
        <w:t>oparma yapılabilir.</w:t>
      </w:r>
      <w:r>
        <w:t xml:space="preserve"> </w:t>
      </w:r>
      <w:r w:rsidR="00AE0E50">
        <w:t>Üzerinde işaret bulunmayan ampullerde</w:t>
      </w:r>
      <w:r>
        <w:t>,</w:t>
      </w:r>
      <w:r w:rsidR="00AE0E50">
        <w:t xml:space="preserve"> ampul kesici yardımıyla kırma işlemi yapılabilir.</w:t>
      </w:r>
    </w:p>
    <w:p w:rsidR="00767AF6" w:rsidRDefault="00767AF6" w:rsidP="00767AF6">
      <w:pPr>
        <w:spacing w:line="240" w:lineRule="auto"/>
        <w:jc w:val="both"/>
      </w:pPr>
      <w:r>
        <w:rPr>
          <w:noProof/>
          <w:lang w:eastAsia="tr-TR"/>
        </w:rPr>
        <w:drawing>
          <wp:inline distT="0" distB="0" distL="0" distR="0" wp14:anchorId="0806E5A7" wp14:editId="0BA4F27D">
            <wp:extent cx="5518215" cy="1981200"/>
            <wp:effectExtent l="0" t="0" r="6350" b="0"/>
            <wp:docPr id="1" name="Resim 1" descr="https://www.tcichemicals.com/assets/cms-images/ampu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cichemicals.com/assets/cms-images/ampule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5559" cy="1980246"/>
                    </a:xfrm>
                    <a:prstGeom prst="rect">
                      <a:avLst/>
                    </a:prstGeom>
                    <a:noFill/>
                    <a:ln>
                      <a:noFill/>
                    </a:ln>
                  </pic:spPr>
                </pic:pic>
              </a:graphicData>
            </a:graphic>
          </wp:inline>
        </w:drawing>
      </w:r>
    </w:p>
    <w:p w:rsidR="00767AF6" w:rsidRDefault="00767AF6" w:rsidP="00767AF6">
      <w:pPr>
        <w:spacing w:line="240" w:lineRule="auto"/>
        <w:jc w:val="center"/>
      </w:pPr>
      <w:r>
        <w:t>Ampul türleri</w:t>
      </w:r>
    </w:p>
    <w:p w:rsidR="00767AF6" w:rsidRDefault="00767AF6" w:rsidP="00767AF6">
      <w:pPr>
        <w:jc w:val="both"/>
      </w:pPr>
    </w:p>
    <w:p w:rsidR="00767AF6" w:rsidRDefault="00767AF6" w:rsidP="00767AF6">
      <w:pPr>
        <w:jc w:val="center"/>
      </w:pPr>
      <w:r>
        <w:rPr>
          <w:noProof/>
          <w:lang w:eastAsia="tr-TR"/>
        </w:rPr>
        <w:drawing>
          <wp:inline distT="0" distB="0" distL="0" distR="0" wp14:anchorId="5DE3FB8B" wp14:editId="0E35E954">
            <wp:extent cx="4391025" cy="288326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2883263"/>
                    </a:xfrm>
                    <a:prstGeom prst="rect">
                      <a:avLst/>
                    </a:prstGeom>
                    <a:noFill/>
                    <a:ln>
                      <a:noFill/>
                    </a:ln>
                  </pic:spPr>
                </pic:pic>
              </a:graphicData>
            </a:graphic>
          </wp:inline>
        </w:drawing>
      </w:r>
    </w:p>
    <w:p w:rsidR="00767AF6" w:rsidRDefault="00767AF6" w:rsidP="00767AF6">
      <w:pPr>
        <w:jc w:val="center"/>
      </w:pPr>
      <w:r>
        <w:t>Noktalı ampullerin başının kopar</w:t>
      </w:r>
      <w:r>
        <w:t>ılması için uygun tutuş yöntemi</w:t>
      </w:r>
    </w:p>
    <w:p w:rsidR="00767AF6" w:rsidRDefault="00767AF6" w:rsidP="00767AF6">
      <w:pPr>
        <w:spacing w:line="240" w:lineRule="auto"/>
        <w:jc w:val="both"/>
      </w:pPr>
      <w:r>
        <w:rPr>
          <w:noProof/>
          <w:lang w:eastAsia="tr-TR"/>
        </w:rPr>
        <w:lastRenderedPageBreak/>
        <w:drawing>
          <wp:inline distT="0" distB="0" distL="0" distR="0" wp14:anchorId="7E74F327" wp14:editId="67A12729">
            <wp:extent cx="5274310" cy="3292019"/>
            <wp:effectExtent l="0" t="0" r="254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92019"/>
                    </a:xfrm>
                    <a:prstGeom prst="rect">
                      <a:avLst/>
                    </a:prstGeom>
                    <a:noFill/>
                    <a:ln>
                      <a:noFill/>
                    </a:ln>
                  </pic:spPr>
                </pic:pic>
              </a:graphicData>
            </a:graphic>
          </wp:inline>
        </w:drawing>
      </w:r>
    </w:p>
    <w:p w:rsidR="00767AF6" w:rsidRDefault="00767AF6" w:rsidP="00767AF6">
      <w:pPr>
        <w:spacing w:line="240" w:lineRule="auto"/>
        <w:jc w:val="center"/>
      </w:pPr>
      <w:r>
        <w:t>Noktalı ampullerin açılması sırasında sık yapılan bazı hatalar</w:t>
      </w:r>
    </w:p>
    <w:p w:rsidR="00767AF6" w:rsidRDefault="00767AF6" w:rsidP="00767AF6">
      <w:pPr>
        <w:jc w:val="both"/>
      </w:pPr>
    </w:p>
    <w:p w:rsidR="00767AF6" w:rsidRDefault="00174C5E" w:rsidP="00174C5E">
      <w:pPr>
        <w:pStyle w:val="ListeParagraf"/>
        <w:numPr>
          <w:ilvl w:val="0"/>
          <w:numId w:val="16"/>
        </w:numPr>
        <w:jc w:val="both"/>
      </w:pPr>
      <w:r>
        <w:t>Kırılmış ampulden enjektöre ilaç çekmek için, enjektör dominant elle tutulur, a</w:t>
      </w:r>
      <w:r w:rsidRPr="00174C5E">
        <w:t>çılmış ampul diğer elin işaret ve orta parmakları arasına alınıp iğne ucu ampulün dışına t</w:t>
      </w:r>
      <w:r>
        <w:t>emas ettirilmeden içine sokulur ve a</w:t>
      </w:r>
      <w:r w:rsidRPr="00174C5E">
        <w:t>mpulü tutan elin başparmak ve yüzük parmağı ile</w:t>
      </w:r>
      <w:r>
        <w:t xml:space="preserve"> enjektörün ajutajı desteklenerek enjektörün p</w:t>
      </w:r>
      <w:r w:rsidRPr="00174C5E">
        <w:t>iston</w:t>
      </w:r>
      <w:r>
        <w:t>u geri çekilir ve böylece</w:t>
      </w:r>
      <w:r w:rsidRPr="00174C5E">
        <w:t xml:space="preserve"> enjektöre ilaç doldurulur. </w:t>
      </w:r>
    </w:p>
    <w:p w:rsidR="00767AF6" w:rsidRDefault="00767AF6" w:rsidP="00D1290E">
      <w:pPr>
        <w:jc w:val="center"/>
      </w:pPr>
      <w:r>
        <w:rPr>
          <w:noProof/>
          <w:lang w:eastAsia="tr-TR"/>
        </w:rPr>
        <w:drawing>
          <wp:inline distT="0" distB="0" distL="0" distR="0">
            <wp:extent cx="5324475" cy="363951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045" cy="3644690"/>
                    </a:xfrm>
                    <a:prstGeom prst="rect">
                      <a:avLst/>
                    </a:prstGeom>
                    <a:noFill/>
                    <a:ln>
                      <a:noFill/>
                    </a:ln>
                  </pic:spPr>
                </pic:pic>
              </a:graphicData>
            </a:graphic>
          </wp:inline>
        </w:drawing>
      </w:r>
    </w:p>
    <w:p w:rsidR="00174C5E" w:rsidRDefault="00174C5E" w:rsidP="00174C5E">
      <w:pPr>
        <w:pStyle w:val="ListeParagraf"/>
        <w:numPr>
          <w:ilvl w:val="0"/>
          <w:numId w:val="16"/>
        </w:numPr>
        <w:jc w:val="both"/>
      </w:pPr>
      <w:r w:rsidRPr="00174C5E">
        <w:lastRenderedPageBreak/>
        <w:t>Enjektörde hava varsa, iğne ucu yukarı bakacak şekilde enjektördeki hava boşaltılır.</w:t>
      </w:r>
      <w:r w:rsidR="00D1290E">
        <w:t xml:space="preserve"> Ancak bu yapılırken dikkatli olunmalıdır. Aksi halde bir miktar ilaç iğne ucundan dışarı akarak kaybedilebilir.</w:t>
      </w:r>
    </w:p>
    <w:p w:rsidR="00506A4D" w:rsidRDefault="00D1290E" w:rsidP="00D1290E">
      <w:pPr>
        <w:pStyle w:val="ListeParagraf"/>
        <w:numPr>
          <w:ilvl w:val="0"/>
          <w:numId w:val="16"/>
        </w:numPr>
        <w:jc w:val="both"/>
      </w:pPr>
      <w:r>
        <w:t>İlaç flakon</w:t>
      </w:r>
      <w:r w:rsidR="00506A4D">
        <w:t xml:space="preserve"> şeklinde ise ve toz halinde bulunuyorsa, o takdirde, önce flakonun sulandırıcısı</w:t>
      </w:r>
      <w:r>
        <w:t xml:space="preserve"> olan ampuldeki sıvı</w:t>
      </w:r>
      <w:r w:rsidR="00506A4D">
        <w:t xml:space="preserve">, </w:t>
      </w:r>
      <w:r>
        <w:t xml:space="preserve">yukarıda anlatılan </w:t>
      </w:r>
      <w:r w:rsidR="00506A4D">
        <w:t>ampulden ilaç çekme işlemlerinin aynısı uygulanarak enjektöre çekilir. D</w:t>
      </w:r>
      <w:r w:rsidR="0059531A">
        <w:t>aha sonra</w:t>
      </w:r>
      <w:r w:rsidR="00506A4D">
        <w:t xml:space="preserve"> flakonun lastik kapağı dezenfektanla silinir ve iğne ucu ile delinerek sulandırıcı flakona aktarılır. </w:t>
      </w:r>
      <w:r w:rsidR="0059531A">
        <w:t>Ardından, iğne ucu flakondan çıkarıl</w:t>
      </w:r>
      <w:r>
        <w:t>ır</w:t>
      </w:r>
      <w:r w:rsidR="0059531A">
        <w:t xml:space="preserve"> ve flakon döndürülerek tozun sulandırıcıda tamamen çözünmesi sağlanır. Son </w:t>
      </w:r>
      <w:r>
        <w:t xml:space="preserve">aşamada, </w:t>
      </w:r>
      <w:r>
        <w:t xml:space="preserve">çekilecek ilaç miktarı kadar hava </w:t>
      </w:r>
      <w:r w:rsidR="0059531A">
        <w:t xml:space="preserve">enjektöre çekilir, </w:t>
      </w:r>
      <w:r>
        <w:t>ardından çekilen hava flakon içerisine</w:t>
      </w:r>
      <w:r w:rsidR="0059531A">
        <w:t xml:space="preserve"> verilir</w:t>
      </w:r>
      <w:r w:rsidR="0059531A">
        <w:rPr>
          <w:rStyle w:val="DipnotBavurusu"/>
        </w:rPr>
        <w:footnoteReference w:id="5"/>
      </w:r>
      <w:r w:rsidR="00E20DFD">
        <w:t xml:space="preserve"> ve</w:t>
      </w:r>
      <w:r w:rsidR="0059531A">
        <w:t xml:space="preserve"> </w:t>
      </w:r>
      <w:r>
        <w:t xml:space="preserve">daha sonra </w:t>
      </w:r>
      <w:r w:rsidR="0059531A">
        <w:t>flakon ters çevrilerek flakondaki ilaç enjektöre çekilir. Eğer flakondaki ilaç sıvı halde bulunuyorsa</w:t>
      </w:r>
      <w:r>
        <w:t xml:space="preserve"> ve sulandırıcısız kullanılıyorsa</w:t>
      </w:r>
      <w:r w:rsidR="0059531A">
        <w:t>,</w:t>
      </w:r>
      <w:r>
        <w:t xml:space="preserve"> o takdirde sadece</w:t>
      </w:r>
      <w:r w:rsidR="0059531A">
        <w:t xml:space="preserve"> </w:t>
      </w:r>
      <w:r w:rsidR="00E20DFD">
        <w:t xml:space="preserve">son aşamada anlatılan işlem basamakları </w:t>
      </w:r>
      <w:r>
        <w:t xml:space="preserve">gerçekleştirilir ve </w:t>
      </w:r>
      <w:r w:rsidR="0059531A">
        <w:t>ilaç</w:t>
      </w:r>
      <w:r>
        <w:t xml:space="preserve"> doğrudan flakondan</w:t>
      </w:r>
      <w:r w:rsidR="0059531A">
        <w:t xml:space="preserve"> enjektöre</w:t>
      </w:r>
      <w:r>
        <w:t xml:space="preserve"> çekilerek uygulanır</w:t>
      </w:r>
      <w:r w:rsidR="0059531A">
        <w:t>.</w:t>
      </w:r>
    </w:p>
    <w:p w:rsidR="00EF1443" w:rsidRDefault="006B45DF" w:rsidP="00F22B67">
      <w:pPr>
        <w:jc w:val="center"/>
      </w:pPr>
      <w:r>
        <w:rPr>
          <w:noProof/>
          <w:lang w:eastAsia="tr-TR"/>
        </w:rPr>
        <w:drawing>
          <wp:inline distT="0" distB="0" distL="0" distR="0" wp14:anchorId="10C6D972" wp14:editId="3790B233">
            <wp:extent cx="2622776" cy="2447925"/>
            <wp:effectExtent l="0" t="0" r="6350" b="0"/>
            <wp:docPr id="22" name="Resim 22" descr="https://images-prod.healthline.com/hlcmsresource/images/topic_centers/Diabetes/IM07_insert_air_r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prod.healthline.com/hlcmsresource/images/topic_centers/Diabetes/IM07_insert_air_retin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68" r="14610" b="-58"/>
                    <a:stretch/>
                  </pic:blipFill>
                  <pic:spPr bwMode="auto">
                    <a:xfrm>
                      <a:off x="0" y="0"/>
                      <a:ext cx="2629625" cy="2454317"/>
                    </a:xfrm>
                    <a:prstGeom prst="rect">
                      <a:avLst/>
                    </a:prstGeom>
                    <a:noFill/>
                    <a:ln>
                      <a:noFill/>
                    </a:ln>
                    <a:extLst>
                      <a:ext uri="{53640926-AAD7-44D8-BBD7-CCE9431645EC}">
                        <a14:shadowObscured xmlns:a14="http://schemas.microsoft.com/office/drawing/2010/main"/>
                      </a:ext>
                    </a:extLst>
                  </pic:spPr>
                </pic:pic>
              </a:graphicData>
            </a:graphic>
          </wp:inline>
        </w:drawing>
      </w:r>
      <w:r w:rsidR="00F22B67">
        <w:t xml:space="preserve">             </w:t>
      </w:r>
      <w:r w:rsidR="00EF1443">
        <w:rPr>
          <w:noProof/>
          <w:lang w:eastAsia="tr-TR"/>
        </w:rPr>
        <w:drawing>
          <wp:inline distT="0" distB="0" distL="0" distR="0" wp14:anchorId="0F3F3677" wp14:editId="071926B6">
            <wp:extent cx="2138328" cy="2562225"/>
            <wp:effectExtent l="0" t="0" r="0" b="0"/>
            <wp:docPr id="23" name="Resim 23" descr="https://images-prod.healthline.com/hlcmsresource/images/topic_centers/Diabetes/IM08_withdraw_meds_r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prod.healthline.com/hlcmsresource/images/topic_centers/Diabetes/IM08_withdraw_meds_retin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499" t="1573" r="7557" b="6109"/>
                    <a:stretch/>
                  </pic:blipFill>
                  <pic:spPr bwMode="auto">
                    <a:xfrm>
                      <a:off x="0" y="0"/>
                      <a:ext cx="2143168" cy="2568025"/>
                    </a:xfrm>
                    <a:prstGeom prst="rect">
                      <a:avLst/>
                    </a:prstGeom>
                    <a:noFill/>
                    <a:ln>
                      <a:noFill/>
                    </a:ln>
                    <a:extLst>
                      <a:ext uri="{53640926-AAD7-44D8-BBD7-CCE9431645EC}">
                        <a14:shadowObscured xmlns:a14="http://schemas.microsoft.com/office/drawing/2010/main"/>
                      </a:ext>
                    </a:extLst>
                  </pic:spPr>
                </pic:pic>
              </a:graphicData>
            </a:graphic>
          </wp:inline>
        </w:drawing>
      </w:r>
    </w:p>
    <w:p w:rsidR="00F22B67" w:rsidRDefault="00F22B67" w:rsidP="00F22B67">
      <w:pPr>
        <w:jc w:val="center"/>
      </w:pPr>
      <w:r>
        <w:t>Flakona hava enjekte edilmesi ve ardından ilacın flakondan enjektöre çekilmesi</w:t>
      </w:r>
    </w:p>
    <w:p w:rsidR="00174C5E" w:rsidRDefault="00174C5E" w:rsidP="001B675A">
      <w:pPr>
        <w:jc w:val="both"/>
      </w:pPr>
    </w:p>
    <w:p w:rsidR="00261544" w:rsidRDefault="0002149E" w:rsidP="001B675A">
      <w:pPr>
        <w:jc w:val="both"/>
      </w:pPr>
      <w:r>
        <w:t>3</w:t>
      </w:r>
      <w:r w:rsidR="00C479F4">
        <w:t xml:space="preserve">- </w:t>
      </w:r>
      <w:r w:rsidR="001B675A">
        <w:t>Enjeksiyon bölgesinin belirlenmesi</w:t>
      </w:r>
    </w:p>
    <w:p w:rsidR="00F22B67" w:rsidRDefault="0002149E" w:rsidP="00F22B67">
      <w:pPr>
        <w:pStyle w:val="ListeParagraf"/>
        <w:numPr>
          <w:ilvl w:val="0"/>
          <w:numId w:val="18"/>
        </w:numPr>
        <w:jc w:val="both"/>
      </w:pPr>
      <w:r>
        <w:t xml:space="preserve">Dorsogluteal bölgeye </w:t>
      </w:r>
      <w:proofErr w:type="gramStart"/>
      <w:r>
        <w:t>enjeksiyon</w:t>
      </w:r>
      <w:proofErr w:type="gramEnd"/>
      <w:r>
        <w:t xml:space="preserve"> yapılacaksa, hastadan </w:t>
      </w:r>
      <w:r w:rsidR="00F22B67">
        <w:t>yüzüstü/pron</w:t>
      </w:r>
      <w:r>
        <w:t xml:space="preserve"> </w:t>
      </w:r>
      <w:r w:rsidR="00F22B67">
        <w:t>(</w:t>
      </w:r>
      <w:r>
        <w:t>veya yan yatar</w:t>
      </w:r>
      <w:r w:rsidR="00F22B67">
        <w:t>)</w:t>
      </w:r>
      <w:r>
        <w:t xml:space="preserve"> pozisyonda olması istenir. Önce sağ veya sol kalça yarısı, yatay ve dikey çizgilerle dört eşit parçaya bölünür. Daha sonra üst dış kısım tekrar dörde ayrılır ve üst dış kısım </w:t>
      </w:r>
      <w:proofErr w:type="gramStart"/>
      <w:r>
        <w:t>enjeksiyon</w:t>
      </w:r>
      <w:proofErr w:type="gramEnd"/>
      <w:r>
        <w:t xml:space="preserve"> alanı olarak seçilir (üst dış kısmın üst dış kısmı, </w:t>
      </w:r>
      <w:r w:rsidRPr="0020643E">
        <w:rPr>
          <w:i/>
          <w:iCs/>
        </w:rPr>
        <w:t>upper outer quadrant of the upper outer quadrant within the buttocks</w:t>
      </w:r>
      <w:r w:rsidR="0020643E">
        <w:t>).</w:t>
      </w:r>
      <w:r w:rsidR="00D62A86">
        <w:t xml:space="preserve"> Enjeksiyon alanı i</w:t>
      </w:r>
      <w:r w:rsidR="00D62A86" w:rsidRPr="00D62A86">
        <w:t>l</w:t>
      </w:r>
      <w:r w:rsidR="00D62A86">
        <w:t>i</w:t>
      </w:r>
      <w:r w:rsidR="00D62A86" w:rsidRPr="00D62A86">
        <w:t>yak kr</w:t>
      </w:r>
      <w:r w:rsidR="00D62A86">
        <w:t xml:space="preserve">istanın </w:t>
      </w:r>
      <w:r w:rsidR="00D62A86" w:rsidRPr="00D62A86">
        <w:t xml:space="preserve">5 ila 7,5 cm </w:t>
      </w:r>
      <w:r w:rsidR="00D62A86">
        <w:t>kadar aşağısında olur.</w:t>
      </w:r>
    </w:p>
    <w:p w:rsidR="00F22B67" w:rsidRDefault="00F22B67" w:rsidP="00F22B67">
      <w:pPr>
        <w:jc w:val="both"/>
      </w:pPr>
      <w:r>
        <w:rPr>
          <w:noProof/>
          <w:lang w:eastAsia="tr-TR"/>
        </w:rPr>
        <w:lastRenderedPageBreak/>
        <w:drawing>
          <wp:inline distT="0" distB="0" distL="0" distR="0" wp14:anchorId="48282690" wp14:editId="475C4BD0">
            <wp:extent cx="2570595" cy="2324100"/>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4463" r="2424"/>
                    <a:stretch/>
                  </pic:blipFill>
                  <pic:spPr bwMode="auto">
                    <a:xfrm>
                      <a:off x="0" y="0"/>
                      <a:ext cx="2570595" cy="23241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213E05A5" wp14:editId="636B5ABD">
            <wp:extent cx="2102211" cy="22288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9783" b="2222"/>
                    <a:stretch/>
                  </pic:blipFill>
                  <pic:spPr bwMode="auto">
                    <a:xfrm>
                      <a:off x="0" y="0"/>
                      <a:ext cx="2102211"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F22B67" w:rsidRDefault="0002149E" w:rsidP="00F22B67">
      <w:pPr>
        <w:pStyle w:val="ListeParagraf"/>
        <w:numPr>
          <w:ilvl w:val="0"/>
          <w:numId w:val="18"/>
        </w:numPr>
        <w:jc w:val="both"/>
      </w:pPr>
      <w:r>
        <w:t xml:space="preserve">Ventrogluteal bölgeye </w:t>
      </w:r>
      <w:proofErr w:type="gramStart"/>
      <w:r>
        <w:t>enjeksiyon</w:t>
      </w:r>
      <w:proofErr w:type="gramEnd"/>
      <w:r>
        <w:t xml:space="preserve"> yapılacaksa hastaya </w:t>
      </w:r>
      <w:r w:rsidR="00D3679B">
        <w:t xml:space="preserve">yan yatar </w:t>
      </w:r>
      <w:r w:rsidR="00F22B67">
        <w:t xml:space="preserve">(veya sırtüstü/supin ya </w:t>
      </w:r>
      <w:r w:rsidR="00D3679B">
        <w:t>da</w:t>
      </w:r>
      <w:r w:rsidR="00F22B67">
        <w:t xml:space="preserve"> yüzüstü/</w:t>
      </w:r>
      <w:r>
        <w:t xml:space="preserve">pron) pozisyon verilir. </w:t>
      </w:r>
      <w:r w:rsidR="0020643E">
        <w:t>K</w:t>
      </w:r>
      <w:r w:rsidR="0020643E" w:rsidRPr="0020643E">
        <w:t>arşı elin (sol kalça için sağ el, sağ kalça için sol el) ayası femur başındaki büyük trokantere (</w:t>
      </w:r>
      <w:r w:rsidR="0020643E" w:rsidRPr="00071759">
        <w:rPr>
          <w:i/>
          <w:iCs/>
        </w:rPr>
        <w:t>trochanter major</w:t>
      </w:r>
      <w:r w:rsidR="0020643E" w:rsidRPr="0020643E">
        <w:t>)</w:t>
      </w:r>
      <w:r w:rsidR="00F22B67">
        <w:t>,</w:t>
      </w:r>
      <w:r w:rsidR="0020643E" w:rsidRPr="0020643E">
        <w:t xml:space="preserve"> </w:t>
      </w:r>
      <w:r w:rsidR="00F22B67" w:rsidRPr="0020643E">
        <w:t>işaret parmağı anterior superior iliyak spinayı (</w:t>
      </w:r>
      <w:r w:rsidR="00F22B67" w:rsidRPr="00071759">
        <w:rPr>
          <w:i/>
          <w:iCs/>
        </w:rPr>
        <w:t>anterior superior iliac spine</w:t>
      </w:r>
      <w:r w:rsidR="00F22B67" w:rsidRPr="0020643E">
        <w:t>)</w:t>
      </w:r>
      <w:r w:rsidR="00F22B67">
        <w:t xml:space="preserve">, </w:t>
      </w:r>
      <w:r w:rsidR="0020643E" w:rsidRPr="0020643E">
        <w:t>baş</w:t>
      </w:r>
      <w:r w:rsidR="00F22B67">
        <w:t>parmak kasığı</w:t>
      </w:r>
      <w:r w:rsidR="0020643E" w:rsidRPr="0020643E">
        <w:t xml:space="preserve"> ve orta parmak da iliyak kristayı (</w:t>
      </w:r>
      <w:r w:rsidR="0020643E" w:rsidRPr="00071759">
        <w:rPr>
          <w:i/>
          <w:iCs/>
        </w:rPr>
        <w:t>crista iliaca</w:t>
      </w:r>
      <w:r w:rsidR="0020643E" w:rsidRPr="0020643E">
        <w:t>) gösterecek şekilde yerleştirilir; ardından işaret parmağı, orta parmak ve iliyak kri</w:t>
      </w:r>
      <w:r w:rsidR="0020643E">
        <w:t>sta arasındaki üçgenin merkezi</w:t>
      </w:r>
      <w:r w:rsidR="0020643E" w:rsidRPr="0020643E">
        <w:t xml:space="preserve"> ventro</w:t>
      </w:r>
      <w:r w:rsidR="0020643E">
        <w:t xml:space="preserve">gluteal </w:t>
      </w:r>
      <w:proofErr w:type="gramStart"/>
      <w:r w:rsidR="0020643E">
        <w:t>enjeksiyon</w:t>
      </w:r>
      <w:proofErr w:type="gramEnd"/>
      <w:r w:rsidR="0020643E">
        <w:t xml:space="preserve"> bölgesi olarak seçilir</w:t>
      </w:r>
      <w:r w:rsidR="0020643E" w:rsidRPr="0020643E">
        <w:t>.</w:t>
      </w:r>
    </w:p>
    <w:p w:rsidR="007A7542" w:rsidRDefault="007A7542" w:rsidP="00071759">
      <w:pPr>
        <w:spacing w:line="240" w:lineRule="auto"/>
        <w:jc w:val="center"/>
      </w:pPr>
      <w:r>
        <w:rPr>
          <w:noProof/>
          <w:lang w:eastAsia="tr-TR"/>
        </w:rPr>
        <w:drawing>
          <wp:inline distT="0" distB="0" distL="0" distR="0">
            <wp:extent cx="4143867" cy="2143125"/>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867" cy="2143125"/>
                    </a:xfrm>
                    <a:prstGeom prst="rect">
                      <a:avLst/>
                    </a:prstGeom>
                    <a:noFill/>
                    <a:ln>
                      <a:noFill/>
                    </a:ln>
                  </pic:spPr>
                </pic:pic>
              </a:graphicData>
            </a:graphic>
          </wp:inline>
        </w:drawing>
      </w:r>
    </w:p>
    <w:p w:rsidR="00071759" w:rsidRDefault="00071759" w:rsidP="00071759">
      <w:pPr>
        <w:spacing w:line="240" w:lineRule="auto"/>
        <w:jc w:val="center"/>
      </w:pPr>
      <w:r>
        <w:rPr>
          <w:noProof/>
          <w:lang w:eastAsia="tr-TR"/>
        </w:rPr>
        <w:drawing>
          <wp:inline distT="0" distB="0" distL="0" distR="0" wp14:anchorId="5DD5DDD9" wp14:editId="70ACC112">
            <wp:extent cx="3524250" cy="228918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21553" b="39001"/>
                    <a:stretch/>
                  </pic:blipFill>
                  <pic:spPr bwMode="auto">
                    <a:xfrm>
                      <a:off x="0" y="0"/>
                      <a:ext cx="3551031" cy="2306585"/>
                    </a:xfrm>
                    <a:prstGeom prst="rect">
                      <a:avLst/>
                    </a:prstGeom>
                    <a:noFill/>
                    <a:ln>
                      <a:noFill/>
                    </a:ln>
                    <a:extLst>
                      <a:ext uri="{53640926-AAD7-44D8-BBD7-CCE9431645EC}">
                        <a14:shadowObscured xmlns:a14="http://schemas.microsoft.com/office/drawing/2010/main"/>
                      </a:ext>
                    </a:extLst>
                  </pic:spPr>
                </pic:pic>
              </a:graphicData>
            </a:graphic>
          </wp:inline>
        </w:drawing>
      </w:r>
    </w:p>
    <w:p w:rsidR="00071759" w:rsidRDefault="00071759" w:rsidP="00071759">
      <w:pPr>
        <w:spacing w:line="240" w:lineRule="auto"/>
        <w:jc w:val="center"/>
      </w:pPr>
      <w:r>
        <w:t>Erkekte anterior superior iliak spin</w:t>
      </w:r>
    </w:p>
    <w:p w:rsidR="007A7542" w:rsidRDefault="007A7542" w:rsidP="00071759">
      <w:pPr>
        <w:spacing w:line="240" w:lineRule="auto"/>
        <w:jc w:val="center"/>
      </w:pPr>
      <w:r>
        <w:rPr>
          <w:noProof/>
          <w:lang w:eastAsia="tr-TR"/>
        </w:rPr>
        <w:lastRenderedPageBreak/>
        <w:drawing>
          <wp:inline distT="0" distB="0" distL="0" distR="0">
            <wp:extent cx="4295775" cy="202382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0622" cy="2026105"/>
                    </a:xfrm>
                    <a:prstGeom prst="rect">
                      <a:avLst/>
                    </a:prstGeom>
                    <a:noFill/>
                    <a:ln>
                      <a:noFill/>
                    </a:ln>
                  </pic:spPr>
                </pic:pic>
              </a:graphicData>
            </a:graphic>
          </wp:inline>
        </w:drawing>
      </w:r>
    </w:p>
    <w:p w:rsidR="00521C7E" w:rsidRDefault="00521C7E" w:rsidP="00071759">
      <w:pPr>
        <w:spacing w:line="240" w:lineRule="auto"/>
        <w:jc w:val="center"/>
      </w:pPr>
      <w:r>
        <w:rPr>
          <w:noProof/>
          <w:lang w:eastAsia="tr-TR"/>
        </w:rPr>
        <w:drawing>
          <wp:inline distT="0" distB="0" distL="0" distR="0" wp14:anchorId="7B3466A0" wp14:editId="24520EB3">
            <wp:extent cx="3181653" cy="31908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4640" b="48116"/>
                    <a:stretch/>
                  </pic:blipFill>
                  <pic:spPr bwMode="auto">
                    <a:xfrm>
                      <a:off x="0" y="0"/>
                      <a:ext cx="3181653" cy="3190875"/>
                    </a:xfrm>
                    <a:prstGeom prst="rect">
                      <a:avLst/>
                    </a:prstGeom>
                    <a:noFill/>
                    <a:ln>
                      <a:noFill/>
                    </a:ln>
                    <a:extLst>
                      <a:ext uri="{53640926-AAD7-44D8-BBD7-CCE9431645EC}">
                        <a14:shadowObscured xmlns:a14="http://schemas.microsoft.com/office/drawing/2010/main"/>
                      </a:ext>
                    </a:extLst>
                  </pic:spPr>
                </pic:pic>
              </a:graphicData>
            </a:graphic>
          </wp:inline>
        </w:drawing>
      </w:r>
    </w:p>
    <w:p w:rsidR="00071759" w:rsidRDefault="00071759" w:rsidP="00071759">
      <w:pPr>
        <w:spacing w:line="240" w:lineRule="auto"/>
        <w:jc w:val="center"/>
      </w:pPr>
      <w:r>
        <w:t>Kadında</w:t>
      </w:r>
      <w:r>
        <w:t xml:space="preserve"> anterior superior iliak spin</w:t>
      </w:r>
    </w:p>
    <w:p w:rsidR="00071759" w:rsidRDefault="00071759" w:rsidP="00071759">
      <w:pPr>
        <w:spacing w:line="240" w:lineRule="auto"/>
        <w:jc w:val="center"/>
      </w:pPr>
    </w:p>
    <w:p w:rsidR="00521C7E" w:rsidRDefault="00071759" w:rsidP="006E6543">
      <w:pPr>
        <w:jc w:val="center"/>
      </w:pPr>
      <w:r>
        <w:rPr>
          <w:noProof/>
          <w:lang w:eastAsia="tr-TR"/>
        </w:rPr>
        <w:drawing>
          <wp:inline distT="0" distB="0" distL="0" distR="0">
            <wp:extent cx="3352800" cy="2760507"/>
            <wp:effectExtent l="0" t="0" r="0" b="19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2760507"/>
                    </a:xfrm>
                    <a:prstGeom prst="rect">
                      <a:avLst/>
                    </a:prstGeom>
                    <a:noFill/>
                    <a:ln>
                      <a:noFill/>
                    </a:ln>
                  </pic:spPr>
                </pic:pic>
              </a:graphicData>
            </a:graphic>
          </wp:inline>
        </w:drawing>
      </w:r>
    </w:p>
    <w:p w:rsidR="005E3193" w:rsidRDefault="005E3193" w:rsidP="005E3193">
      <w:pPr>
        <w:jc w:val="center"/>
      </w:pPr>
      <w:r>
        <w:rPr>
          <w:noProof/>
          <w:lang w:eastAsia="tr-TR"/>
        </w:rPr>
        <w:lastRenderedPageBreak/>
        <w:drawing>
          <wp:inline distT="0" distB="0" distL="0" distR="0">
            <wp:extent cx="3028950" cy="3917277"/>
            <wp:effectExtent l="0" t="0" r="0" b="7620"/>
            <wp:docPr id="142336" name="Resim 1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3917277"/>
                    </a:xfrm>
                    <a:prstGeom prst="rect">
                      <a:avLst/>
                    </a:prstGeom>
                    <a:noFill/>
                    <a:ln>
                      <a:noFill/>
                    </a:ln>
                  </pic:spPr>
                </pic:pic>
              </a:graphicData>
            </a:graphic>
          </wp:inline>
        </w:drawing>
      </w:r>
    </w:p>
    <w:p w:rsidR="001B675A" w:rsidRDefault="0002149E" w:rsidP="004103DF">
      <w:pPr>
        <w:jc w:val="both"/>
      </w:pPr>
      <w:r>
        <w:t>4</w:t>
      </w:r>
      <w:r w:rsidR="008D7EB1">
        <w:t xml:space="preserve">- </w:t>
      </w:r>
      <w:r w:rsidR="001B675A">
        <w:t>Enjeksiyon bölgesinin antiseptikli pamukla silinmesi</w:t>
      </w:r>
    </w:p>
    <w:p w:rsidR="001B675A" w:rsidRDefault="001B675A" w:rsidP="001B675A">
      <w:pPr>
        <w:pStyle w:val="ListeParagraf"/>
        <w:numPr>
          <w:ilvl w:val="0"/>
          <w:numId w:val="12"/>
        </w:numPr>
        <w:jc w:val="both"/>
      </w:pPr>
      <w:r>
        <w:t>Silme işlemi merkezden perifere doğru dairesel ve tek bir hareketle yapılır.</w:t>
      </w:r>
    </w:p>
    <w:p w:rsidR="00196289" w:rsidRDefault="00196289" w:rsidP="001B675A">
      <w:pPr>
        <w:pStyle w:val="ListeParagraf"/>
        <w:numPr>
          <w:ilvl w:val="0"/>
          <w:numId w:val="12"/>
        </w:numPr>
        <w:jc w:val="both"/>
      </w:pPr>
      <w:r>
        <w:t>Silme işleminden sonra bölgenin kuruması için biraz beklenir.</w:t>
      </w:r>
    </w:p>
    <w:p w:rsidR="008D7EB1" w:rsidRDefault="0002149E" w:rsidP="004103DF">
      <w:pPr>
        <w:jc w:val="both"/>
      </w:pPr>
      <w:r>
        <w:t>5</w:t>
      </w:r>
      <w:r w:rsidR="001B675A">
        <w:t xml:space="preserve">- </w:t>
      </w:r>
      <w:r w:rsidR="004103DF">
        <w:t>Hastaya derin nefes almasının söylenmesi</w:t>
      </w:r>
    </w:p>
    <w:p w:rsidR="008C7B5D" w:rsidRDefault="008C7B5D" w:rsidP="008C7B5D">
      <w:pPr>
        <w:pStyle w:val="ListeParagraf"/>
        <w:numPr>
          <w:ilvl w:val="0"/>
          <w:numId w:val="19"/>
        </w:numPr>
        <w:jc w:val="both"/>
      </w:pPr>
      <w:r>
        <w:t>Enjeksiyon sırasında hastanın dikkati başka yöne çekilmelidir.</w:t>
      </w:r>
    </w:p>
    <w:p w:rsidR="004103DF" w:rsidRDefault="0002149E" w:rsidP="00196289">
      <w:pPr>
        <w:jc w:val="both"/>
      </w:pPr>
      <w:r>
        <w:t>6</w:t>
      </w:r>
      <w:r w:rsidR="004103DF">
        <w:t xml:space="preserve">- </w:t>
      </w:r>
      <w:r w:rsidR="00196289">
        <w:t>E</w:t>
      </w:r>
      <w:r w:rsidR="004103DF">
        <w:t>njeksiyon iğnesinin batırılması</w:t>
      </w:r>
    </w:p>
    <w:p w:rsidR="0083349C" w:rsidRDefault="0083349C" w:rsidP="00071759">
      <w:pPr>
        <w:pStyle w:val="ListeParagraf"/>
        <w:numPr>
          <w:ilvl w:val="0"/>
          <w:numId w:val="7"/>
        </w:numPr>
        <w:jc w:val="both"/>
      </w:pPr>
      <w:r>
        <w:t>İlaç çekme uygulamasında kullanılan iğnenin değiştirilmesi ve enjektöre yeni bir iğne takılması tavsiye edilir.</w:t>
      </w:r>
    </w:p>
    <w:p w:rsidR="00196289" w:rsidRDefault="00196289" w:rsidP="00071759">
      <w:pPr>
        <w:pStyle w:val="ListeParagraf"/>
        <w:numPr>
          <w:ilvl w:val="0"/>
          <w:numId w:val="7"/>
        </w:numPr>
        <w:jc w:val="both"/>
      </w:pPr>
      <w:r>
        <w:t xml:space="preserve">Enjektör </w:t>
      </w:r>
      <w:r w:rsidR="0002149E">
        <w:t xml:space="preserve">dominant </w:t>
      </w:r>
      <w:r>
        <w:t>elle kalem gibi tutulur.</w:t>
      </w:r>
    </w:p>
    <w:p w:rsidR="00196289" w:rsidRDefault="00196289" w:rsidP="00071759">
      <w:pPr>
        <w:pStyle w:val="ListeParagraf"/>
        <w:numPr>
          <w:ilvl w:val="0"/>
          <w:numId w:val="7"/>
        </w:numPr>
        <w:jc w:val="both"/>
      </w:pPr>
      <w:r>
        <w:t>Silinen bölge diğer</w:t>
      </w:r>
      <w:r w:rsidR="00071759">
        <w:t xml:space="preserve"> elle</w:t>
      </w:r>
      <w:r>
        <w:t xml:space="preserve"> gerdirilir.</w:t>
      </w:r>
    </w:p>
    <w:p w:rsidR="001B675A" w:rsidRDefault="001B675A" w:rsidP="00196289">
      <w:pPr>
        <w:pStyle w:val="ListeParagraf"/>
        <w:numPr>
          <w:ilvl w:val="0"/>
          <w:numId w:val="7"/>
        </w:numPr>
        <w:jc w:val="both"/>
      </w:pPr>
      <w:r>
        <w:t xml:space="preserve">Gerdirilen bölgeye </w:t>
      </w:r>
      <w:proofErr w:type="gramStart"/>
      <w:r>
        <w:t>enjeksiyon</w:t>
      </w:r>
      <w:proofErr w:type="gramEnd"/>
      <w:r>
        <w:t xml:space="preserve"> iğnesi 90 derecelik açıyla ve seri bir hareketle batırıl</w:t>
      </w:r>
      <w:r w:rsidR="00196289">
        <w:t>ır.</w:t>
      </w:r>
    </w:p>
    <w:p w:rsidR="00090533" w:rsidRDefault="00090533" w:rsidP="00196289">
      <w:pPr>
        <w:pStyle w:val="ListeParagraf"/>
        <w:numPr>
          <w:ilvl w:val="0"/>
          <w:numId w:val="7"/>
        </w:numPr>
        <w:jc w:val="both"/>
      </w:pPr>
      <w:r>
        <w:t>İğnenin tamamı batırılır.</w:t>
      </w:r>
    </w:p>
    <w:p w:rsidR="001B675A" w:rsidRDefault="001B675A" w:rsidP="001B675A">
      <w:pPr>
        <w:pStyle w:val="ListeParagraf"/>
        <w:numPr>
          <w:ilvl w:val="0"/>
          <w:numId w:val="7"/>
        </w:numPr>
        <w:jc w:val="both"/>
      </w:pPr>
      <w:r>
        <w:t xml:space="preserve">Enjeksiyon iğnesi </w:t>
      </w:r>
      <w:r w:rsidR="00196289">
        <w:t xml:space="preserve">batırıldıktan sonra </w:t>
      </w:r>
      <w:r>
        <w:t>sabit tutulur.</w:t>
      </w:r>
    </w:p>
    <w:p w:rsidR="001B675A" w:rsidRDefault="0002149E" w:rsidP="00196289">
      <w:pPr>
        <w:jc w:val="both"/>
      </w:pPr>
      <w:r>
        <w:t>7</w:t>
      </w:r>
      <w:r w:rsidR="001B675A">
        <w:t xml:space="preserve">- </w:t>
      </w:r>
      <w:r w:rsidR="00196289">
        <w:t>Yanlışlıkla damara girilip girilmediğinin kontrol edilmesi</w:t>
      </w:r>
    </w:p>
    <w:p w:rsidR="0020643E" w:rsidRDefault="001B675A" w:rsidP="00071759">
      <w:pPr>
        <w:pStyle w:val="ListeParagraf"/>
        <w:numPr>
          <w:ilvl w:val="0"/>
          <w:numId w:val="7"/>
        </w:numPr>
        <w:jc w:val="both"/>
      </w:pPr>
      <w:r>
        <w:t>Gerd</w:t>
      </w:r>
      <w:r w:rsidR="00196289">
        <w:t>irme yapan el hafifçe bırakılır ve</w:t>
      </w:r>
      <w:r>
        <w:t xml:space="preserve"> </w:t>
      </w:r>
      <w:r w:rsidR="00196289">
        <w:t>b</w:t>
      </w:r>
      <w:r w:rsidR="006944A9">
        <w:t>u elin başparmağı ve işaret parmağı ile</w:t>
      </w:r>
      <w:r>
        <w:t xml:space="preserve"> </w:t>
      </w:r>
      <w:r w:rsidR="00196289">
        <w:t>enjektörün</w:t>
      </w:r>
      <w:r w:rsidR="004C372E">
        <w:t xml:space="preserve"> alt ucu sabit tutulur. Dominant el pistonun ucuna doğru hafifçe kaydırılır ve</w:t>
      </w:r>
      <w:r w:rsidR="00196289">
        <w:t xml:space="preserve"> </w:t>
      </w:r>
      <w:r>
        <w:t xml:space="preserve">piston tutularak </w:t>
      </w:r>
      <w:r w:rsidR="004C372E">
        <w:t>hafifçe geri çekilir;</w:t>
      </w:r>
      <w:r>
        <w:t xml:space="preserve"> böylece negatif basınç uygulanır. Bu işlem sırasında kan gelip gelmediğine bakılır. Kan gelmiyorsa ilaç verilir.</w:t>
      </w:r>
      <w:r w:rsidR="00071759">
        <w:t xml:space="preserve"> </w:t>
      </w:r>
      <w:r w:rsidR="0020643E">
        <w:t xml:space="preserve">Eğer kan gelirse, enjektör çıkarılır ve işlem başka bir enjektörle ve başka bir bölgeye uygulanır. </w:t>
      </w:r>
    </w:p>
    <w:p w:rsidR="001B675A" w:rsidRDefault="0002149E" w:rsidP="00196289">
      <w:pPr>
        <w:jc w:val="both"/>
      </w:pPr>
      <w:r>
        <w:lastRenderedPageBreak/>
        <w:t>8</w:t>
      </w:r>
      <w:r w:rsidR="001B675A">
        <w:t xml:space="preserve">- </w:t>
      </w:r>
      <w:r w:rsidR="00196289">
        <w:t>İlacın uygulanması</w:t>
      </w:r>
    </w:p>
    <w:p w:rsidR="001B675A" w:rsidRDefault="001B675A" w:rsidP="005C721B">
      <w:pPr>
        <w:pStyle w:val="ListeParagraf"/>
        <w:numPr>
          <w:ilvl w:val="0"/>
          <w:numId w:val="7"/>
        </w:numPr>
        <w:jc w:val="both"/>
      </w:pPr>
      <w:r>
        <w:t>Enjektör hareket ettirilmeden ilacın tamamı yavaşça verilir.</w:t>
      </w:r>
      <w:r w:rsidR="005C721B">
        <w:t xml:space="preserve"> Hız yaklaşık olarak 10 saniyede 1 mL kadar olmalıdır</w:t>
      </w:r>
      <w:r w:rsidR="00090533">
        <w:t xml:space="preserve"> (10 saniye/mL)</w:t>
      </w:r>
      <w:r w:rsidR="00090533">
        <w:rPr>
          <w:rStyle w:val="DipnotBavurusu"/>
        </w:rPr>
        <w:footnoteReference w:id="6"/>
      </w:r>
      <w:r w:rsidR="005C721B">
        <w:t>.</w:t>
      </w:r>
    </w:p>
    <w:p w:rsidR="001B675A" w:rsidRDefault="0002149E" w:rsidP="001B675A">
      <w:pPr>
        <w:jc w:val="both"/>
      </w:pPr>
      <w:r>
        <w:t>9</w:t>
      </w:r>
      <w:r w:rsidR="001B675A">
        <w:t>- Enjektörün çekilmesi</w:t>
      </w:r>
    </w:p>
    <w:p w:rsidR="0083349C" w:rsidRDefault="0083349C" w:rsidP="0083349C">
      <w:pPr>
        <w:pStyle w:val="ListeParagraf"/>
        <w:numPr>
          <w:ilvl w:val="0"/>
          <w:numId w:val="7"/>
        </w:numPr>
        <w:jc w:val="both"/>
      </w:pPr>
      <w:r>
        <w:t>Baskın olmayan elle</w:t>
      </w:r>
      <w:r w:rsidRPr="004C372E">
        <w:t xml:space="preserve"> </w:t>
      </w:r>
      <w:proofErr w:type="gramStart"/>
      <w:r w:rsidRPr="004C372E">
        <w:t>enjeksiy</w:t>
      </w:r>
      <w:r>
        <w:t>on</w:t>
      </w:r>
      <w:proofErr w:type="gramEnd"/>
      <w:r>
        <w:t xml:space="preserve"> bölgesinin etrafındaki doku</w:t>
      </w:r>
      <w:r w:rsidRPr="004C372E">
        <w:t xml:space="preserve"> destekle</w:t>
      </w:r>
      <w:r>
        <w:t>n</w:t>
      </w:r>
      <w:r w:rsidRPr="004C372E">
        <w:t xml:space="preserve">erek, </w:t>
      </w:r>
      <w:r>
        <w:t>giriş açısı bozulmadan enjektör seri bir şekilde geri çekilir.</w:t>
      </w:r>
    </w:p>
    <w:p w:rsidR="00A30E8A" w:rsidRDefault="0083349C" w:rsidP="0083349C">
      <w:pPr>
        <w:pStyle w:val="ListeParagraf"/>
        <w:numPr>
          <w:ilvl w:val="0"/>
          <w:numId w:val="7"/>
        </w:numPr>
        <w:jc w:val="both"/>
      </w:pPr>
      <w:r>
        <w:t xml:space="preserve">Enjektörün, </w:t>
      </w:r>
      <w:proofErr w:type="gramStart"/>
      <w:r>
        <w:t>e</w:t>
      </w:r>
      <w:r w:rsidR="00A30E8A">
        <w:t>njeksiyon</w:t>
      </w:r>
      <w:proofErr w:type="gramEnd"/>
      <w:r w:rsidR="00A30E8A">
        <w:t xml:space="preserve"> </w:t>
      </w:r>
      <w:r>
        <w:t xml:space="preserve">işlemi </w:t>
      </w:r>
      <w:r w:rsidR="00A30E8A">
        <w:t>tama</w:t>
      </w:r>
      <w:r>
        <w:t>mlandıktan 10 saniye sonra çekilmesi tavsiye edilir.</w:t>
      </w:r>
    </w:p>
    <w:p w:rsidR="001B675A" w:rsidRDefault="0002149E" w:rsidP="00C479F4">
      <w:pPr>
        <w:jc w:val="both"/>
      </w:pPr>
      <w:r>
        <w:t>10</w:t>
      </w:r>
      <w:r w:rsidR="001B675A">
        <w:t xml:space="preserve">- Pamukla </w:t>
      </w:r>
      <w:proofErr w:type="gramStart"/>
      <w:r w:rsidR="001B675A">
        <w:t>enjeksiyon</w:t>
      </w:r>
      <w:proofErr w:type="gramEnd"/>
      <w:r w:rsidR="001B675A">
        <w:t xml:space="preserve"> bölgesine hafifçe bastırılması</w:t>
      </w:r>
    </w:p>
    <w:p w:rsidR="005C4DF0" w:rsidRDefault="005C4DF0" w:rsidP="005C4DF0">
      <w:pPr>
        <w:pStyle w:val="ListeParagraf"/>
        <w:numPr>
          <w:ilvl w:val="0"/>
          <w:numId w:val="7"/>
        </w:numPr>
        <w:jc w:val="both"/>
      </w:pPr>
      <w:r>
        <w:t>Enje</w:t>
      </w:r>
      <w:r w:rsidR="0083349C">
        <w:t>ksiyon bölgesine masaj yapılmaz!</w:t>
      </w:r>
    </w:p>
    <w:p w:rsidR="001B675A" w:rsidRPr="00B9358A" w:rsidRDefault="00196289" w:rsidP="00C479F4">
      <w:pPr>
        <w:jc w:val="both"/>
      </w:pPr>
      <w:r w:rsidRPr="00B9358A">
        <w:t>1</w:t>
      </w:r>
      <w:r w:rsidR="0002149E" w:rsidRPr="00B9358A">
        <w:t>1</w:t>
      </w:r>
      <w:r w:rsidR="001B675A" w:rsidRPr="00B9358A">
        <w:t>- Enjektörün tıbbi atığa atılması</w:t>
      </w:r>
    </w:p>
    <w:p w:rsidR="00274153" w:rsidRPr="00B9358A" w:rsidRDefault="00B9358A" w:rsidP="00B9358A">
      <w:pPr>
        <w:pStyle w:val="ListeParagraf"/>
        <w:numPr>
          <w:ilvl w:val="0"/>
          <w:numId w:val="7"/>
        </w:numPr>
        <w:jc w:val="both"/>
      </w:pPr>
      <w:r>
        <w:t>Kullanılmış iğne</w:t>
      </w:r>
      <w:r w:rsidRPr="00B9358A">
        <w:t xml:space="preserve"> tekrar kapat</w:t>
      </w:r>
      <w:r>
        <w:t>ılmaya çalışılmaz.</w:t>
      </w:r>
    </w:p>
    <w:p w:rsidR="0089434C" w:rsidRDefault="0089434C" w:rsidP="003B1A9F">
      <w:pPr>
        <w:jc w:val="both"/>
      </w:pPr>
    </w:p>
    <w:p w:rsidR="00797E05" w:rsidRPr="007D74A5" w:rsidRDefault="002A50AB" w:rsidP="007D74A5">
      <w:pPr>
        <w:jc w:val="center"/>
        <w:rPr>
          <w:b/>
          <w:bCs/>
        </w:rPr>
      </w:pPr>
      <w:r w:rsidRPr="002A50AB">
        <w:rPr>
          <w:b/>
          <w:bCs/>
        </w:rPr>
        <w:t>Yararlanılan Kaynaklar:</w:t>
      </w:r>
    </w:p>
    <w:p w:rsidR="009D08D0" w:rsidRDefault="004103DF" w:rsidP="006E6543">
      <w:pPr>
        <w:widowControl w:val="0"/>
        <w:autoSpaceDE w:val="0"/>
        <w:autoSpaceDN w:val="0"/>
        <w:adjustRightInd w:val="0"/>
        <w:spacing w:line="240" w:lineRule="auto"/>
        <w:ind w:left="640" w:hanging="640"/>
        <w:jc w:val="both"/>
      </w:pPr>
      <w:r>
        <w:t>1.</w:t>
      </w:r>
      <w:r>
        <w:tab/>
        <w:t xml:space="preserve">Topal E, Yakıncı C. Hekimlikte Temel Uygulamalar Rehberi. 3. Baskı. </w:t>
      </w:r>
      <w:proofErr w:type="gramStart"/>
      <w:r>
        <w:t xml:space="preserve">İnönü Üniversitesi Yayınevi. </w:t>
      </w:r>
      <w:proofErr w:type="gramEnd"/>
      <w:r>
        <w:t>Malatya. 2021.</w:t>
      </w:r>
    </w:p>
    <w:p w:rsidR="00DE0F36" w:rsidRDefault="00DE0F36" w:rsidP="006E6543">
      <w:pPr>
        <w:widowControl w:val="0"/>
        <w:autoSpaceDE w:val="0"/>
        <w:autoSpaceDN w:val="0"/>
        <w:adjustRightInd w:val="0"/>
        <w:spacing w:line="240" w:lineRule="auto"/>
        <w:ind w:left="640" w:hanging="640"/>
        <w:jc w:val="both"/>
      </w:pPr>
      <w:r>
        <w:t>2.</w:t>
      </w:r>
      <w:r>
        <w:tab/>
      </w:r>
      <w:r w:rsidRPr="00DE0F36">
        <w:t xml:space="preserve">Polania Gutierrez JJ, Munakomi S. Intramuscular Injection [Internet]. StatPearls. 2022. Available from: </w:t>
      </w:r>
      <w:r w:rsidR="006E6543" w:rsidRPr="006E6543">
        <w:t>http://www.ncbi.nlm.nih.gov/pubmed/</w:t>
      </w:r>
      <w:proofErr w:type="gramStart"/>
      <w:r w:rsidR="006E6543" w:rsidRPr="006E6543">
        <w:t>32310581</w:t>
      </w:r>
      <w:proofErr w:type="gramEnd"/>
    </w:p>
    <w:p w:rsidR="006E6543" w:rsidRDefault="006E6543" w:rsidP="006E6543">
      <w:pPr>
        <w:widowControl w:val="0"/>
        <w:autoSpaceDE w:val="0"/>
        <w:autoSpaceDN w:val="0"/>
        <w:adjustRightInd w:val="0"/>
        <w:spacing w:line="240" w:lineRule="auto"/>
        <w:ind w:left="640" w:hanging="640"/>
        <w:jc w:val="both"/>
      </w:pPr>
      <w:r>
        <w:t>3.</w:t>
      </w:r>
      <w:r>
        <w:tab/>
      </w:r>
      <w:r w:rsidRPr="006E6543">
        <w:t>Kinel E,</w:t>
      </w:r>
      <w:r>
        <w:t xml:space="preserve"> D’Amico M, Roncoletta P. </w:t>
      </w:r>
      <w:r w:rsidRPr="006E6543">
        <w:t xml:space="preserve">Normative 3D opto-electronic stereo-photogrammetric sagittal alignment parameters in a young healthy adult population. PLoS ONE </w:t>
      </w:r>
      <w:r>
        <w:t>2018;13(9):e0203679.</w:t>
      </w:r>
    </w:p>
    <w:p w:rsidR="006E6543" w:rsidRDefault="006E6543" w:rsidP="007A7542">
      <w:pPr>
        <w:widowControl w:val="0"/>
        <w:autoSpaceDE w:val="0"/>
        <w:autoSpaceDN w:val="0"/>
        <w:adjustRightInd w:val="0"/>
        <w:spacing w:line="240" w:lineRule="auto"/>
        <w:ind w:left="640" w:hanging="640"/>
        <w:jc w:val="both"/>
      </w:pPr>
      <w:r>
        <w:t>4.</w:t>
      </w:r>
      <w:r>
        <w:tab/>
      </w:r>
      <w:r w:rsidRPr="006E6543">
        <w:t>D</w:t>
      </w:r>
      <w:r w:rsidR="007A7542">
        <w:t xml:space="preserve">'Amico M, Kinel E, Roncoletta P. </w:t>
      </w:r>
      <w:r w:rsidRPr="006E6543">
        <w:t xml:space="preserve">Normative 3D opto-electronic stereo-photogrammetric posture and spine morphology </w:t>
      </w:r>
      <w:proofErr w:type="gramStart"/>
      <w:r w:rsidRPr="006E6543">
        <w:t>data</w:t>
      </w:r>
      <w:proofErr w:type="gramEnd"/>
      <w:r w:rsidRPr="006E6543">
        <w:t xml:space="preserve"> in young healthy adult population. PLoS ONE </w:t>
      </w:r>
      <w:r w:rsidR="007A7542">
        <w:t>2017;12(6):</w:t>
      </w:r>
      <w:r w:rsidRPr="006E6543">
        <w:t>e0179619.</w:t>
      </w:r>
    </w:p>
    <w:p w:rsidR="008C7B5D" w:rsidRDefault="008C7B5D" w:rsidP="00D135F8">
      <w:pPr>
        <w:widowControl w:val="0"/>
        <w:autoSpaceDE w:val="0"/>
        <w:autoSpaceDN w:val="0"/>
        <w:adjustRightInd w:val="0"/>
        <w:spacing w:line="240" w:lineRule="auto"/>
        <w:ind w:left="640" w:hanging="640"/>
        <w:jc w:val="both"/>
      </w:pPr>
      <w:r>
        <w:t>5.</w:t>
      </w:r>
      <w:r>
        <w:tab/>
      </w:r>
      <w:r w:rsidRPr="008C7B5D">
        <w:t>Perry</w:t>
      </w:r>
      <w:r>
        <w:t xml:space="preserve"> AG</w:t>
      </w:r>
      <w:r w:rsidRPr="008C7B5D">
        <w:t>, Potter</w:t>
      </w:r>
      <w:r w:rsidR="00D135F8">
        <w:t xml:space="preserve"> PA</w:t>
      </w:r>
      <w:r w:rsidRPr="008C7B5D">
        <w:t>, Ostendorf</w:t>
      </w:r>
      <w:r w:rsidR="00D135F8">
        <w:t xml:space="preserve"> W. </w:t>
      </w:r>
      <w:r w:rsidR="00D135F8" w:rsidRPr="00D135F8">
        <w:t>Clinical Nursing Skills and Techniques</w:t>
      </w:r>
      <w:r w:rsidR="00D135F8">
        <w:t xml:space="preserve">. </w:t>
      </w:r>
      <w:r w:rsidR="00D135F8" w:rsidRPr="00D135F8">
        <w:t>8</w:t>
      </w:r>
      <w:r w:rsidR="00D135F8">
        <w:t xml:space="preserve">. edition. </w:t>
      </w:r>
      <w:r w:rsidR="00D135F8" w:rsidRPr="00D135F8">
        <w:t>Elsevier Health Sciences</w:t>
      </w:r>
      <w:r w:rsidR="00D135F8">
        <w:t>. 2013.</w:t>
      </w:r>
    </w:p>
    <w:p w:rsidR="005C4DF0" w:rsidRDefault="005C4DF0" w:rsidP="005C4DF0">
      <w:pPr>
        <w:widowControl w:val="0"/>
        <w:autoSpaceDE w:val="0"/>
        <w:autoSpaceDN w:val="0"/>
        <w:adjustRightInd w:val="0"/>
        <w:spacing w:line="240" w:lineRule="auto"/>
        <w:ind w:left="640" w:hanging="640"/>
        <w:jc w:val="both"/>
      </w:pPr>
      <w:r>
        <w:t>6.</w:t>
      </w:r>
      <w:r>
        <w:tab/>
      </w:r>
      <w:r w:rsidRPr="005C4DF0">
        <w:t>Lynn</w:t>
      </w:r>
      <w:r>
        <w:t xml:space="preserve"> P</w:t>
      </w:r>
      <w:r w:rsidRPr="005C4DF0">
        <w:t>, Lynn</w:t>
      </w:r>
      <w:r>
        <w:t xml:space="preserve"> PB</w:t>
      </w:r>
      <w:r w:rsidRPr="005C4DF0">
        <w:t xml:space="preserve">, Taylor </w:t>
      </w:r>
      <w:r>
        <w:t xml:space="preserve">C. </w:t>
      </w:r>
      <w:r w:rsidRPr="005C4DF0">
        <w:t>Taylor's Clinical Nursing Skills</w:t>
      </w:r>
      <w:r>
        <w:t xml:space="preserve">. 3. edition. </w:t>
      </w:r>
      <w:r w:rsidRPr="005C4DF0">
        <w:t>Wolters Kluwer Healt</w:t>
      </w:r>
      <w:r>
        <w:t>h/Lippincott Williams &amp; Wilkins.</w:t>
      </w:r>
      <w:r w:rsidRPr="005C4DF0">
        <w:t xml:space="preserve"> 2011</w:t>
      </w:r>
      <w:r>
        <w:t>.</w:t>
      </w:r>
    </w:p>
    <w:p w:rsidR="008812EF" w:rsidRDefault="008812EF" w:rsidP="008812EF">
      <w:pPr>
        <w:widowControl w:val="0"/>
        <w:autoSpaceDE w:val="0"/>
        <w:autoSpaceDN w:val="0"/>
        <w:adjustRightInd w:val="0"/>
        <w:spacing w:line="240" w:lineRule="auto"/>
        <w:ind w:left="640" w:hanging="640"/>
        <w:jc w:val="both"/>
      </w:pPr>
      <w:r>
        <w:t>7.</w:t>
      </w:r>
      <w:r>
        <w:tab/>
        <w:t>Sakamaki S, Yasuhara Y, Motoki K, Takase K, Tanioka T, Locsin</w:t>
      </w:r>
      <w:r w:rsidRPr="008812EF">
        <w:t xml:space="preserve"> R. The relationship between body mass index, thickness of subcutaneous fat, and the gluteus muscle as the intram</w:t>
      </w:r>
      <w:r>
        <w:t>uscular injection site. Health. 2013;5(9):1443–</w:t>
      </w:r>
      <w:r w:rsidRPr="008812EF">
        <w:t>8.</w:t>
      </w:r>
    </w:p>
    <w:p w:rsidR="008812EF" w:rsidRDefault="008812EF" w:rsidP="008812EF">
      <w:pPr>
        <w:widowControl w:val="0"/>
        <w:autoSpaceDE w:val="0"/>
        <w:autoSpaceDN w:val="0"/>
        <w:adjustRightInd w:val="0"/>
        <w:spacing w:line="240" w:lineRule="auto"/>
        <w:ind w:left="640" w:hanging="640"/>
        <w:jc w:val="both"/>
      </w:pPr>
      <w:r>
        <w:t>8.</w:t>
      </w:r>
      <w:r>
        <w:tab/>
      </w:r>
      <w:r w:rsidRPr="008812EF">
        <w:t xml:space="preserve">Strohfus P, Palma S, Wallace CT. Dorsogluteal intramuscular injection depth needed to reach muscle tissue according to body mass index and gender: A systematic </w:t>
      </w:r>
      <w:r>
        <w:t>review. J Clin Nurs. 2021</w:t>
      </w:r>
      <w:r w:rsidRPr="008812EF">
        <w:t>.</w:t>
      </w:r>
    </w:p>
    <w:p w:rsidR="00993218" w:rsidRDefault="005E3193" w:rsidP="00993218">
      <w:pPr>
        <w:jc w:val="center"/>
        <w:rPr>
          <w:b/>
          <w:bCs/>
        </w:rPr>
      </w:pPr>
      <w:r>
        <w:rPr>
          <w:b/>
          <w:bCs/>
        </w:rPr>
        <w:lastRenderedPageBreak/>
        <w:t>İlave Notlar:</w:t>
      </w:r>
    </w:p>
    <w:p w:rsidR="005E3193" w:rsidRDefault="005E3193" w:rsidP="005E3193">
      <w:pPr>
        <w:widowControl w:val="0"/>
        <w:autoSpaceDE w:val="0"/>
        <w:autoSpaceDN w:val="0"/>
        <w:adjustRightInd w:val="0"/>
        <w:spacing w:line="240" w:lineRule="auto"/>
        <w:jc w:val="center"/>
      </w:pPr>
      <w:r>
        <w:rPr>
          <w:noProof/>
          <w:lang w:eastAsia="tr-TR"/>
        </w:rPr>
        <w:drawing>
          <wp:inline distT="0" distB="0" distL="0" distR="0" wp14:anchorId="76C48F67" wp14:editId="6DBE665D">
            <wp:extent cx="5710372" cy="2209800"/>
            <wp:effectExtent l="0" t="0" r="508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9777" cy="2213440"/>
                    </a:xfrm>
                    <a:prstGeom prst="rect">
                      <a:avLst/>
                    </a:prstGeom>
                    <a:noFill/>
                    <a:ln>
                      <a:noFill/>
                    </a:ln>
                  </pic:spPr>
                </pic:pic>
              </a:graphicData>
            </a:graphic>
          </wp:inline>
        </w:drawing>
      </w:r>
    </w:p>
    <w:p w:rsidR="005E3193" w:rsidRDefault="005E3193" w:rsidP="005E3193">
      <w:pPr>
        <w:widowControl w:val="0"/>
        <w:autoSpaceDE w:val="0"/>
        <w:autoSpaceDN w:val="0"/>
        <w:adjustRightInd w:val="0"/>
        <w:spacing w:line="240" w:lineRule="auto"/>
        <w:jc w:val="center"/>
      </w:pPr>
      <w:r w:rsidRPr="00A32D47">
        <w:t xml:space="preserve">Z-track </w:t>
      </w:r>
      <w:r>
        <w:t>tekniği</w:t>
      </w:r>
    </w:p>
    <w:p w:rsidR="00993218" w:rsidRDefault="00993218" w:rsidP="00993218">
      <w:pPr>
        <w:jc w:val="center"/>
        <w:rPr>
          <w:b/>
          <w:bCs/>
        </w:rPr>
      </w:pPr>
    </w:p>
    <w:p w:rsidR="00993218" w:rsidRDefault="005E3193" w:rsidP="006434C2">
      <w:pPr>
        <w:spacing w:line="240" w:lineRule="auto"/>
        <w:jc w:val="center"/>
        <w:rPr>
          <w:b/>
          <w:bCs/>
        </w:rPr>
      </w:pPr>
      <w:r>
        <w:rPr>
          <w:b/>
          <w:bCs/>
          <w:noProof/>
          <w:lang w:eastAsia="tr-TR"/>
        </w:rPr>
        <w:drawing>
          <wp:inline distT="0" distB="0" distL="0" distR="0">
            <wp:extent cx="4305300" cy="5279433"/>
            <wp:effectExtent l="0" t="0" r="0" b="0"/>
            <wp:docPr id="142338" name="Resim 14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629" cy="5288420"/>
                    </a:xfrm>
                    <a:prstGeom prst="rect">
                      <a:avLst/>
                    </a:prstGeom>
                    <a:noFill/>
                    <a:ln>
                      <a:noFill/>
                    </a:ln>
                  </pic:spPr>
                </pic:pic>
              </a:graphicData>
            </a:graphic>
          </wp:inline>
        </w:drawing>
      </w:r>
    </w:p>
    <w:p w:rsidR="005E3193" w:rsidRDefault="005E3193" w:rsidP="006434C2">
      <w:pPr>
        <w:widowControl w:val="0"/>
        <w:autoSpaceDE w:val="0"/>
        <w:autoSpaceDN w:val="0"/>
        <w:adjustRightInd w:val="0"/>
        <w:spacing w:line="240" w:lineRule="auto"/>
        <w:jc w:val="center"/>
      </w:pPr>
      <w:r>
        <w:t>Hava kilidi</w:t>
      </w:r>
      <w:r w:rsidRPr="00A32D47">
        <w:t xml:space="preserve"> </w:t>
      </w:r>
      <w:r>
        <w:t>tekniği</w:t>
      </w:r>
    </w:p>
    <w:p w:rsidR="005E3193" w:rsidRDefault="005E3193" w:rsidP="00993218">
      <w:pPr>
        <w:jc w:val="center"/>
        <w:rPr>
          <w:b/>
          <w:bCs/>
        </w:rPr>
        <w:sectPr w:rsidR="005E3193">
          <w:footerReference w:type="default" r:id="rId26"/>
          <w:pgSz w:w="11906" w:h="16838"/>
          <w:pgMar w:top="1440" w:right="1800" w:bottom="1440" w:left="1800" w:header="708" w:footer="708" w:gutter="0"/>
          <w:cols w:space="708"/>
          <w:docGrid w:linePitch="360"/>
        </w:sectPr>
      </w:pPr>
    </w:p>
    <w:tbl>
      <w:tblPr>
        <w:tblStyle w:val="TabloKlavuzu"/>
        <w:tblW w:w="14367" w:type="dxa"/>
        <w:tblLook w:val="04A0" w:firstRow="1" w:lastRow="0" w:firstColumn="1" w:lastColumn="0" w:noHBand="0" w:noVBand="1"/>
      </w:tblPr>
      <w:tblGrid>
        <w:gridCol w:w="1197"/>
        <w:gridCol w:w="3292"/>
        <w:gridCol w:w="3293"/>
        <w:gridCol w:w="3292"/>
        <w:gridCol w:w="3293"/>
      </w:tblGrid>
      <w:tr w:rsidR="00993218" w:rsidTr="00113800">
        <w:trPr>
          <w:trHeight w:val="70"/>
        </w:trPr>
        <w:tc>
          <w:tcPr>
            <w:tcW w:w="1197" w:type="dxa"/>
          </w:tcPr>
          <w:p w:rsidR="00993218" w:rsidRDefault="00993218" w:rsidP="005C4DF0">
            <w:pPr>
              <w:jc w:val="center"/>
              <w:rPr>
                <w:b/>
                <w:bCs/>
              </w:rPr>
            </w:pPr>
            <w:bookmarkStart w:id="0" w:name="_GoBack"/>
            <w:bookmarkEnd w:id="0"/>
          </w:p>
        </w:tc>
        <w:tc>
          <w:tcPr>
            <w:tcW w:w="3292" w:type="dxa"/>
          </w:tcPr>
          <w:p w:rsidR="00993218" w:rsidRDefault="00993218" w:rsidP="005C4DF0">
            <w:pPr>
              <w:jc w:val="center"/>
              <w:rPr>
                <w:b/>
                <w:bCs/>
              </w:rPr>
            </w:pPr>
            <w:r>
              <w:rPr>
                <w:b/>
                <w:bCs/>
              </w:rPr>
              <w:t>Dorsogluteal</w:t>
            </w:r>
          </w:p>
        </w:tc>
        <w:tc>
          <w:tcPr>
            <w:tcW w:w="3293" w:type="dxa"/>
          </w:tcPr>
          <w:p w:rsidR="00993218" w:rsidRDefault="00993218" w:rsidP="005C4DF0">
            <w:pPr>
              <w:jc w:val="center"/>
              <w:rPr>
                <w:b/>
                <w:bCs/>
              </w:rPr>
            </w:pPr>
            <w:r>
              <w:rPr>
                <w:b/>
                <w:bCs/>
              </w:rPr>
              <w:t>Ventrogluteal</w:t>
            </w:r>
          </w:p>
        </w:tc>
        <w:tc>
          <w:tcPr>
            <w:tcW w:w="3292" w:type="dxa"/>
          </w:tcPr>
          <w:p w:rsidR="00993218" w:rsidRDefault="00993218" w:rsidP="005C4DF0">
            <w:pPr>
              <w:jc w:val="center"/>
              <w:rPr>
                <w:b/>
                <w:bCs/>
              </w:rPr>
            </w:pPr>
            <w:r>
              <w:rPr>
                <w:b/>
                <w:bCs/>
              </w:rPr>
              <w:t>Deltoid</w:t>
            </w:r>
          </w:p>
        </w:tc>
        <w:tc>
          <w:tcPr>
            <w:tcW w:w="3293" w:type="dxa"/>
          </w:tcPr>
          <w:p w:rsidR="00993218" w:rsidRDefault="00993218" w:rsidP="005C4DF0">
            <w:pPr>
              <w:jc w:val="center"/>
              <w:rPr>
                <w:b/>
                <w:bCs/>
              </w:rPr>
            </w:pPr>
            <w:r>
              <w:rPr>
                <w:b/>
                <w:bCs/>
              </w:rPr>
              <w:t>Vastus Lateralis</w:t>
            </w:r>
          </w:p>
        </w:tc>
      </w:tr>
      <w:tr w:rsidR="00993218" w:rsidTr="00113800">
        <w:trPr>
          <w:trHeight w:val="70"/>
        </w:trPr>
        <w:tc>
          <w:tcPr>
            <w:tcW w:w="1197" w:type="dxa"/>
          </w:tcPr>
          <w:p w:rsidR="00993218" w:rsidRPr="00113800" w:rsidRDefault="00993218" w:rsidP="005C4DF0">
            <w:pPr>
              <w:jc w:val="center"/>
              <w:rPr>
                <w:b/>
                <w:bCs/>
              </w:rPr>
            </w:pPr>
            <w:r w:rsidRPr="00113800">
              <w:rPr>
                <w:b/>
                <w:bCs/>
              </w:rPr>
              <w:t>Enjeksiyon Bölgesi</w:t>
            </w:r>
          </w:p>
        </w:tc>
        <w:tc>
          <w:tcPr>
            <w:tcW w:w="3292" w:type="dxa"/>
          </w:tcPr>
          <w:p w:rsidR="00993218" w:rsidRPr="00113800" w:rsidRDefault="00993218" w:rsidP="005C4DF0">
            <w:pPr>
              <w:jc w:val="center"/>
            </w:pPr>
            <w:r w:rsidRPr="00113800">
              <w:t xml:space="preserve">Upper outer quadrant of the upper outer quadrant within the buttocks </w:t>
            </w:r>
          </w:p>
          <w:p w:rsidR="00993218" w:rsidRDefault="00993218" w:rsidP="005C4DF0">
            <w:pPr>
              <w:jc w:val="center"/>
              <w:rPr>
                <w:b/>
                <w:bCs/>
              </w:rPr>
            </w:pPr>
            <w:r w:rsidRPr="00113800">
              <w:t xml:space="preserve">5 </w:t>
            </w:r>
            <w:r w:rsidR="00113800">
              <w:t xml:space="preserve">to </w:t>
            </w:r>
            <w:proofErr w:type="gramStart"/>
            <w:r w:rsidR="00113800">
              <w:t>7.5</w:t>
            </w:r>
            <w:proofErr w:type="gramEnd"/>
            <w:r w:rsidR="00113800">
              <w:t xml:space="preserve"> cm below the iliac crest</w:t>
            </w:r>
          </w:p>
        </w:tc>
        <w:tc>
          <w:tcPr>
            <w:tcW w:w="3293" w:type="dxa"/>
          </w:tcPr>
          <w:p w:rsidR="00113800" w:rsidRDefault="00113800" w:rsidP="005C4DF0">
            <w:pPr>
              <w:jc w:val="center"/>
            </w:pPr>
            <w:r w:rsidRPr="00113800">
              <w:t xml:space="preserve">The heel of the opposing hand is placed in the greater trochanter, the index finger in the anterior superior iliac spine, and the middle finger below the iliac crest. </w:t>
            </w:r>
          </w:p>
          <w:p w:rsidR="00993218" w:rsidRPr="00113800" w:rsidRDefault="00113800" w:rsidP="005C4DF0">
            <w:pPr>
              <w:jc w:val="center"/>
            </w:pPr>
            <w:r w:rsidRPr="00113800">
              <w:t>The drug is injected into the triangle formed by the index, middle finger, and the iliac crest</w:t>
            </w:r>
          </w:p>
        </w:tc>
        <w:tc>
          <w:tcPr>
            <w:tcW w:w="3292" w:type="dxa"/>
          </w:tcPr>
          <w:p w:rsidR="00993218" w:rsidRPr="00113800" w:rsidRDefault="00113800" w:rsidP="005C4DF0">
            <w:pPr>
              <w:jc w:val="center"/>
            </w:pPr>
            <w:r w:rsidRPr="00113800">
              <w:t>2.5 to 5 cm below the acromion process</w:t>
            </w:r>
          </w:p>
        </w:tc>
        <w:tc>
          <w:tcPr>
            <w:tcW w:w="3293" w:type="dxa"/>
          </w:tcPr>
          <w:p w:rsidR="00993218" w:rsidRPr="00113800" w:rsidRDefault="00113800" w:rsidP="005C4DF0">
            <w:pPr>
              <w:jc w:val="center"/>
            </w:pPr>
            <w:r w:rsidRPr="00113800">
              <w:t>The middle third of the line joining the greater trochanter of the femur and the lateral femoral condyle of the knee</w:t>
            </w:r>
          </w:p>
        </w:tc>
      </w:tr>
      <w:tr w:rsidR="00C554B4" w:rsidTr="004B3F29">
        <w:trPr>
          <w:trHeight w:val="399"/>
        </w:trPr>
        <w:tc>
          <w:tcPr>
            <w:tcW w:w="1197" w:type="dxa"/>
          </w:tcPr>
          <w:p w:rsidR="00C554B4" w:rsidRPr="00113800" w:rsidRDefault="00C554B4" w:rsidP="005C4DF0">
            <w:pPr>
              <w:jc w:val="center"/>
              <w:rPr>
                <w:b/>
                <w:bCs/>
              </w:rPr>
            </w:pPr>
            <w:r w:rsidRPr="00113800">
              <w:rPr>
                <w:b/>
                <w:bCs/>
              </w:rPr>
              <w:t>Yaş Grubu</w:t>
            </w:r>
          </w:p>
        </w:tc>
        <w:tc>
          <w:tcPr>
            <w:tcW w:w="6585" w:type="dxa"/>
            <w:gridSpan w:val="2"/>
          </w:tcPr>
          <w:p w:rsidR="00C554B4" w:rsidRDefault="00C554B4" w:rsidP="005C4DF0">
            <w:pPr>
              <w:jc w:val="center"/>
            </w:pPr>
            <w:r w:rsidRPr="00113800">
              <w:t>Adults</w:t>
            </w:r>
          </w:p>
          <w:p w:rsidR="00C554B4" w:rsidRPr="00113800" w:rsidRDefault="00C554B4" w:rsidP="005C4DF0">
            <w:pPr>
              <w:jc w:val="center"/>
            </w:pPr>
          </w:p>
        </w:tc>
        <w:tc>
          <w:tcPr>
            <w:tcW w:w="3292" w:type="dxa"/>
          </w:tcPr>
          <w:p w:rsidR="00C554B4" w:rsidRDefault="00C554B4" w:rsidP="005C4DF0">
            <w:pPr>
              <w:jc w:val="center"/>
            </w:pPr>
            <w:r w:rsidRPr="00113800">
              <w:t>Children</w:t>
            </w:r>
          </w:p>
          <w:p w:rsidR="00C554B4" w:rsidRPr="00113800" w:rsidRDefault="00C554B4" w:rsidP="005C4DF0">
            <w:pPr>
              <w:jc w:val="center"/>
            </w:pPr>
            <w:r w:rsidRPr="00113800">
              <w:t>Adults</w:t>
            </w:r>
          </w:p>
        </w:tc>
        <w:tc>
          <w:tcPr>
            <w:tcW w:w="3293" w:type="dxa"/>
          </w:tcPr>
          <w:p w:rsidR="00C554B4" w:rsidRPr="005C4DF0" w:rsidRDefault="00C554B4" w:rsidP="005C4DF0">
            <w:pPr>
              <w:jc w:val="center"/>
            </w:pPr>
            <w:r w:rsidRPr="005C4DF0">
              <w:t>Infants</w:t>
            </w:r>
          </w:p>
          <w:p w:rsidR="00C554B4" w:rsidRPr="00113800" w:rsidRDefault="00C554B4" w:rsidP="005C4DF0">
            <w:pPr>
              <w:jc w:val="center"/>
            </w:pPr>
            <w:r w:rsidRPr="005C4DF0">
              <w:t>Children</w:t>
            </w:r>
          </w:p>
        </w:tc>
      </w:tr>
      <w:tr w:rsidR="00C554B4" w:rsidTr="004B3F29">
        <w:trPr>
          <w:trHeight w:val="376"/>
        </w:trPr>
        <w:tc>
          <w:tcPr>
            <w:tcW w:w="1197" w:type="dxa"/>
          </w:tcPr>
          <w:p w:rsidR="00C554B4" w:rsidRPr="00113800" w:rsidRDefault="00C554B4" w:rsidP="005C4DF0">
            <w:pPr>
              <w:jc w:val="center"/>
              <w:rPr>
                <w:b/>
                <w:bCs/>
              </w:rPr>
            </w:pPr>
            <w:r w:rsidRPr="00113800">
              <w:rPr>
                <w:b/>
                <w:bCs/>
              </w:rPr>
              <w:t>İlaç Volümü</w:t>
            </w:r>
          </w:p>
        </w:tc>
        <w:tc>
          <w:tcPr>
            <w:tcW w:w="6585" w:type="dxa"/>
            <w:gridSpan w:val="2"/>
          </w:tcPr>
          <w:p w:rsidR="00C554B4" w:rsidRPr="00113800" w:rsidRDefault="005E3193" w:rsidP="005C4DF0">
            <w:pPr>
              <w:jc w:val="center"/>
            </w:pPr>
            <w:r>
              <w:t>1</w:t>
            </w:r>
            <w:r w:rsidR="006B45DF">
              <w:t xml:space="preserve"> to 5 mL</w:t>
            </w:r>
          </w:p>
        </w:tc>
        <w:tc>
          <w:tcPr>
            <w:tcW w:w="3292" w:type="dxa"/>
          </w:tcPr>
          <w:p w:rsidR="00C554B4" w:rsidRPr="00113800" w:rsidRDefault="006B45DF" w:rsidP="005C4DF0">
            <w:pPr>
              <w:jc w:val="center"/>
            </w:pPr>
            <w:r>
              <w:t>1</w:t>
            </w:r>
            <w:r w:rsidR="00C554B4">
              <w:t xml:space="preserve"> mL</w:t>
            </w:r>
            <w:r w:rsidR="00C554B4" w:rsidRPr="00113800">
              <w:t xml:space="preserve"> or less</w:t>
            </w:r>
          </w:p>
        </w:tc>
        <w:tc>
          <w:tcPr>
            <w:tcW w:w="3293" w:type="dxa"/>
          </w:tcPr>
          <w:p w:rsidR="00C554B4" w:rsidRDefault="0083349C" w:rsidP="005C4DF0">
            <w:pPr>
              <w:jc w:val="center"/>
            </w:pPr>
            <w:r>
              <w:t>0.5 mL or less (infants)</w:t>
            </w:r>
          </w:p>
          <w:p w:rsidR="0083349C" w:rsidRPr="00113800" w:rsidRDefault="0083349C" w:rsidP="005C4DF0">
            <w:pPr>
              <w:jc w:val="center"/>
            </w:pPr>
            <w:r>
              <w:t>1 mL or less (children)</w:t>
            </w:r>
          </w:p>
        </w:tc>
      </w:tr>
      <w:tr w:rsidR="00993218" w:rsidTr="00113800">
        <w:trPr>
          <w:trHeight w:val="421"/>
        </w:trPr>
        <w:tc>
          <w:tcPr>
            <w:tcW w:w="1197" w:type="dxa"/>
          </w:tcPr>
          <w:p w:rsidR="00993218" w:rsidRPr="00113800" w:rsidRDefault="00113800" w:rsidP="005C4DF0">
            <w:pPr>
              <w:jc w:val="center"/>
              <w:rPr>
                <w:b/>
                <w:bCs/>
              </w:rPr>
            </w:pPr>
            <w:r>
              <w:rPr>
                <w:b/>
                <w:bCs/>
              </w:rPr>
              <w:t>İğne Uzunluğu</w:t>
            </w:r>
          </w:p>
        </w:tc>
        <w:tc>
          <w:tcPr>
            <w:tcW w:w="3292" w:type="dxa"/>
          </w:tcPr>
          <w:p w:rsidR="0036759C" w:rsidRDefault="0036759C" w:rsidP="0036759C">
            <w:pPr>
              <w:jc w:val="center"/>
            </w:pPr>
            <w:r w:rsidRPr="00113800">
              <w:t>38 mm</w:t>
            </w:r>
          </w:p>
          <w:p w:rsidR="00993218" w:rsidRPr="00113800" w:rsidRDefault="0036759C" w:rsidP="0083349C">
            <w:pPr>
              <w:jc w:val="center"/>
            </w:pPr>
            <w:r>
              <w:t>1½’’</w:t>
            </w:r>
          </w:p>
        </w:tc>
        <w:tc>
          <w:tcPr>
            <w:tcW w:w="3293" w:type="dxa"/>
          </w:tcPr>
          <w:p w:rsidR="00993218" w:rsidRDefault="00113800" w:rsidP="005C4DF0">
            <w:pPr>
              <w:jc w:val="center"/>
            </w:pPr>
            <w:r w:rsidRPr="00113800">
              <w:t>38 mm</w:t>
            </w:r>
          </w:p>
          <w:p w:rsidR="005C4DF0" w:rsidRPr="00113800" w:rsidRDefault="005C4DF0" w:rsidP="005C4DF0">
            <w:pPr>
              <w:jc w:val="center"/>
            </w:pPr>
            <w:r>
              <w:t>1½’’</w:t>
            </w:r>
          </w:p>
        </w:tc>
        <w:tc>
          <w:tcPr>
            <w:tcW w:w="3292" w:type="dxa"/>
          </w:tcPr>
          <w:p w:rsidR="005C4DF0" w:rsidRDefault="005C4DF0" w:rsidP="005C4DF0">
            <w:pPr>
              <w:jc w:val="center"/>
            </w:pPr>
            <w:r>
              <w:t>16 to 32 mm (children)</w:t>
            </w:r>
          </w:p>
          <w:p w:rsidR="00113800" w:rsidRDefault="005C4DF0" w:rsidP="005C4DF0">
            <w:pPr>
              <w:jc w:val="center"/>
            </w:pPr>
            <w:r>
              <w:t>5/8’’-1¼’’</w:t>
            </w:r>
            <w:r w:rsidR="00113800" w:rsidRPr="00113800">
              <w:t xml:space="preserve"> </w:t>
            </w:r>
          </w:p>
          <w:p w:rsidR="00993218" w:rsidRDefault="00113800" w:rsidP="005C4DF0">
            <w:pPr>
              <w:jc w:val="center"/>
            </w:pPr>
            <w:r w:rsidRPr="00113800">
              <w:t>25 to 38 mm(adults)</w:t>
            </w:r>
          </w:p>
          <w:p w:rsidR="005C4DF0" w:rsidRPr="00113800" w:rsidRDefault="005C4DF0" w:rsidP="005C4DF0">
            <w:pPr>
              <w:jc w:val="center"/>
            </w:pPr>
            <w:r>
              <w:t xml:space="preserve">1’’-1½’’  </w:t>
            </w:r>
          </w:p>
        </w:tc>
        <w:tc>
          <w:tcPr>
            <w:tcW w:w="3293" w:type="dxa"/>
          </w:tcPr>
          <w:p w:rsidR="00993218" w:rsidRDefault="00113800" w:rsidP="005C4DF0">
            <w:pPr>
              <w:jc w:val="center"/>
            </w:pPr>
            <w:r w:rsidRPr="00113800">
              <w:t>16 to 25 mm</w:t>
            </w:r>
          </w:p>
          <w:p w:rsidR="0083349C" w:rsidRDefault="005C4DF0" w:rsidP="005C4DF0">
            <w:pPr>
              <w:jc w:val="center"/>
            </w:pPr>
            <w:r>
              <w:t>5/8’’</w:t>
            </w:r>
            <w:r w:rsidR="0083349C">
              <w:t xml:space="preserve"> (infants)</w:t>
            </w:r>
          </w:p>
          <w:p w:rsidR="005C4DF0" w:rsidRPr="00113800" w:rsidRDefault="005C4DF0" w:rsidP="005C4DF0">
            <w:pPr>
              <w:jc w:val="center"/>
            </w:pPr>
            <w:r>
              <w:t>1’’</w:t>
            </w:r>
            <w:r w:rsidR="0083349C">
              <w:t xml:space="preserve"> (children)</w:t>
            </w:r>
          </w:p>
        </w:tc>
      </w:tr>
      <w:tr w:rsidR="002F5EAF" w:rsidTr="00113800">
        <w:trPr>
          <w:trHeight w:val="421"/>
        </w:trPr>
        <w:tc>
          <w:tcPr>
            <w:tcW w:w="1197" w:type="dxa"/>
          </w:tcPr>
          <w:p w:rsidR="002F5EAF" w:rsidRDefault="002F5EAF" w:rsidP="005C4DF0">
            <w:pPr>
              <w:jc w:val="center"/>
              <w:rPr>
                <w:b/>
                <w:bCs/>
              </w:rPr>
            </w:pPr>
            <w:r>
              <w:rPr>
                <w:b/>
                <w:bCs/>
              </w:rPr>
              <w:t>İlave Özellikler</w:t>
            </w:r>
          </w:p>
        </w:tc>
        <w:tc>
          <w:tcPr>
            <w:tcW w:w="3292" w:type="dxa"/>
          </w:tcPr>
          <w:p w:rsidR="002F5EAF" w:rsidRPr="00113800" w:rsidRDefault="00C554B4" w:rsidP="005C4DF0">
            <w:pPr>
              <w:jc w:val="center"/>
            </w:pPr>
            <w:r>
              <w:t xml:space="preserve">Ventrogluteal </w:t>
            </w:r>
            <w:proofErr w:type="gramStart"/>
            <w:r>
              <w:t>enj</w:t>
            </w:r>
            <w:r w:rsidR="0083349C">
              <w:t>eksiyona</w:t>
            </w:r>
            <w:proofErr w:type="gramEnd"/>
            <w:r w:rsidR="0083349C">
              <w:t xml:space="preserve"> göre daha az güvenli</w:t>
            </w:r>
          </w:p>
        </w:tc>
        <w:tc>
          <w:tcPr>
            <w:tcW w:w="3293" w:type="dxa"/>
          </w:tcPr>
          <w:p w:rsidR="002F5EAF" w:rsidRPr="00113800" w:rsidRDefault="002F5EAF" w:rsidP="0083349C">
            <w:pPr>
              <w:jc w:val="center"/>
            </w:pPr>
            <w:r>
              <w:t>Büyük sinirlerin ve kan damarlarının uzağında, güvenli</w:t>
            </w:r>
          </w:p>
        </w:tc>
        <w:tc>
          <w:tcPr>
            <w:tcW w:w="3292" w:type="dxa"/>
          </w:tcPr>
          <w:p w:rsidR="0083349C" w:rsidRDefault="0083349C" w:rsidP="005C4DF0">
            <w:pPr>
              <w:jc w:val="center"/>
            </w:pPr>
            <w:r>
              <w:t>18 aylık ve üzeri</w:t>
            </w:r>
            <w:r>
              <w:t>ndeki çocuklarda tavsiye edilir</w:t>
            </w:r>
          </w:p>
          <w:p w:rsidR="002F5EAF" w:rsidRDefault="002745AF" w:rsidP="005C4DF0">
            <w:pPr>
              <w:jc w:val="center"/>
            </w:pPr>
            <w:r>
              <w:t>Çoğu hastada iyi gelişmiş değil</w:t>
            </w:r>
          </w:p>
          <w:p w:rsidR="002745AF" w:rsidRDefault="002745AF" w:rsidP="005C4DF0">
            <w:pPr>
              <w:jc w:val="center"/>
            </w:pPr>
            <w:r>
              <w:t>Küçük hacimli ilaç uygulamalarında kullanılır</w:t>
            </w:r>
          </w:p>
          <w:p w:rsidR="002745AF" w:rsidRPr="00113800" w:rsidRDefault="002745AF" w:rsidP="0083349C">
            <w:pPr>
              <w:jc w:val="center"/>
            </w:pPr>
            <w:r>
              <w:t>Erişkinlerde bir aşılama bölgesi olarak kullanılabilir</w:t>
            </w:r>
          </w:p>
        </w:tc>
        <w:tc>
          <w:tcPr>
            <w:tcW w:w="3293" w:type="dxa"/>
          </w:tcPr>
          <w:p w:rsidR="002F5EAF" w:rsidRDefault="002745AF" w:rsidP="005C4DF0">
            <w:pPr>
              <w:jc w:val="center"/>
            </w:pPr>
            <w:r>
              <w:t>Büyük sinirler ve kan damarları bulunmaz</w:t>
            </w:r>
          </w:p>
          <w:p w:rsidR="002745AF" w:rsidRDefault="002745AF" w:rsidP="005C4DF0">
            <w:pPr>
              <w:jc w:val="center"/>
            </w:pPr>
            <w:r>
              <w:t>Çocuklarda aşılar için kullanılır</w:t>
            </w:r>
          </w:p>
          <w:p w:rsidR="002745AF" w:rsidRPr="00113800" w:rsidRDefault="002745AF" w:rsidP="005C4DF0">
            <w:pPr>
              <w:jc w:val="center"/>
            </w:pPr>
          </w:p>
        </w:tc>
      </w:tr>
    </w:tbl>
    <w:p w:rsidR="00993218" w:rsidRDefault="00993218" w:rsidP="00993218">
      <w:pPr>
        <w:jc w:val="both"/>
        <w:rPr>
          <w:b/>
          <w:bCs/>
        </w:rPr>
      </w:pPr>
    </w:p>
    <w:p w:rsidR="002745AF" w:rsidRDefault="002745AF" w:rsidP="00993218">
      <w:pPr>
        <w:jc w:val="both"/>
        <w:rPr>
          <w:b/>
          <w:bCs/>
        </w:rPr>
      </w:pPr>
    </w:p>
    <w:p w:rsidR="002745AF" w:rsidRDefault="002745AF" w:rsidP="00993218">
      <w:pPr>
        <w:jc w:val="both"/>
        <w:rPr>
          <w:b/>
          <w:bCs/>
        </w:rPr>
        <w:sectPr w:rsidR="002745AF" w:rsidSect="00113800">
          <w:pgSz w:w="16838" w:h="11906" w:orient="landscape"/>
          <w:pgMar w:top="1800" w:right="1440" w:bottom="1800" w:left="1440" w:header="706" w:footer="706" w:gutter="0"/>
          <w:cols w:space="708"/>
          <w:docGrid w:linePitch="360"/>
        </w:sectPr>
      </w:pPr>
    </w:p>
    <w:p w:rsidR="008812EF" w:rsidRDefault="008812EF" w:rsidP="00993218">
      <w:pPr>
        <w:jc w:val="both"/>
        <w:rPr>
          <w:b/>
          <w:bCs/>
        </w:rPr>
      </w:pPr>
      <w:r>
        <w:rPr>
          <w:b/>
          <w:bCs/>
          <w:noProof/>
          <w:lang w:eastAsia="tr-TR"/>
        </w:rPr>
        <w:lastRenderedPageBreak/>
        <w:drawing>
          <wp:inline distT="0" distB="0" distL="0" distR="0">
            <wp:extent cx="6076950" cy="5867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r="-74" b="1598"/>
                    <a:stretch/>
                  </pic:blipFill>
                  <pic:spPr bwMode="auto">
                    <a:xfrm>
                      <a:off x="0" y="0"/>
                      <a:ext cx="6085482" cy="5875638"/>
                    </a:xfrm>
                    <a:prstGeom prst="rect">
                      <a:avLst/>
                    </a:prstGeom>
                    <a:noFill/>
                    <a:ln>
                      <a:noFill/>
                    </a:ln>
                    <a:extLst>
                      <a:ext uri="{53640926-AAD7-44D8-BBD7-CCE9431645EC}">
                        <a14:shadowObscured xmlns:a14="http://schemas.microsoft.com/office/drawing/2010/main"/>
                      </a:ext>
                    </a:extLst>
                  </pic:spPr>
                </pic:pic>
              </a:graphicData>
            </a:graphic>
          </wp:inline>
        </w:drawing>
      </w:r>
    </w:p>
    <w:p w:rsidR="008812EF" w:rsidRDefault="008812EF" w:rsidP="00993218">
      <w:pPr>
        <w:jc w:val="both"/>
        <w:rPr>
          <w:b/>
          <w:bCs/>
        </w:rPr>
      </w:pPr>
    </w:p>
    <w:p w:rsidR="00EF1443" w:rsidRDefault="00EF1443" w:rsidP="00993218">
      <w:pPr>
        <w:jc w:val="both"/>
      </w:pPr>
    </w:p>
    <w:p w:rsidR="005E3193" w:rsidRDefault="005E3193" w:rsidP="00993218">
      <w:pPr>
        <w:jc w:val="both"/>
      </w:pPr>
    </w:p>
    <w:p w:rsidR="00A32D47" w:rsidRPr="007D74A5" w:rsidRDefault="00A32D47" w:rsidP="00993218">
      <w:pPr>
        <w:jc w:val="both"/>
        <w:rPr>
          <w:b/>
          <w:bCs/>
        </w:rPr>
      </w:pPr>
    </w:p>
    <w:p w:rsidR="004F4E3D" w:rsidRDefault="004F4E3D" w:rsidP="004F4E3D">
      <w:pPr>
        <w:widowControl w:val="0"/>
        <w:autoSpaceDE w:val="0"/>
        <w:autoSpaceDN w:val="0"/>
        <w:adjustRightInd w:val="0"/>
        <w:spacing w:line="240" w:lineRule="auto"/>
      </w:pPr>
    </w:p>
    <w:p w:rsidR="00D344E0" w:rsidRDefault="00D344E0" w:rsidP="004F4E3D">
      <w:pPr>
        <w:widowControl w:val="0"/>
        <w:autoSpaceDE w:val="0"/>
        <w:autoSpaceDN w:val="0"/>
        <w:adjustRightInd w:val="0"/>
        <w:spacing w:line="240" w:lineRule="auto"/>
        <w:rPr>
          <w:b/>
          <w:bCs/>
        </w:rPr>
      </w:pPr>
    </w:p>
    <w:p w:rsidR="00F333FF" w:rsidRDefault="00F333FF" w:rsidP="004103DF">
      <w:pPr>
        <w:widowControl w:val="0"/>
        <w:autoSpaceDE w:val="0"/>
        <w:autoSpaceDN w:val="0"/>
        <w:adjustRightInd w:val="0"/>
        <w:spacing w:line="240" w:lineRule="auto"/>
        <w:jc w:val="both"/>
      </w:pPr>
    </w:p>
    <w:p w:rsidR="006B45DF" w:rsidRDefault="006B45DF" w:rsidP="004103DF">
      <w:pPr>
        <w:widowControl w:val="0"/>
        <w:autoSpaceDE w:val="0"/>
        <w:autoSpaceDN w:val="0"/>
        <w:adjustRightInd w:val="0"/>
        <w:spacing w:line="240" w:lineRule="auto"/>
        <w:jc w:val="both"/>
      </w:pPr>
    </w:p>
    <w:p w:rsidR="004408CF" w:rsidRPr="00B442DC" w:rsidRDefault="004408CF" w:rsidP="004103DF">
      <w:pPr>
        <w:widowControl w:val="0"/>
        <w:autoSpaceDE w:val="0"/>
        <w:autoSpaceDN w:val="0"/>
        <w:adjustRightInd w:val="0"/>
        <w:spacing w:line="240" w:lineRule="auto"/>
        <w:jc w:val="both"/>
      </w:pPr>
    </w:p>
    <w:sectPr w:rsidR="004408CF" w:rsidRPr="00B442DC" w:rsidSect="002745AF">
      <w:pgSz w:w="11906" w:h="16838"/>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0A4" w:rsidRDefault="004B00A4" w:rsidP="007F32DE">
      <w:pPr>
        <w:spacing w:after="0" w:line="240" w:lineRule="auto"/>
      </w:pPr>
      <w:r>
        <w:separator/>
      </w:r>
    </w:p>
  </w:endnote>
  <w:endnote w:type="continuationSeparator" w:id="0">
    <w:p w:rsidR="004B00A4" w:rsidRDefault="004B00A4" w:rsidP="007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068"/>
      <w:docPartObj>
        <w:docPartGallery w:val="Page Numbers (Bottom of Page)"/>
        <w:docPartUnique/>
      </w:docPartObj>
    </w:sdtPr>
    <w:sdtEndPr/>
    <w:sdtContent>
      <w:p w:rsidR="005C721B" w:rsidRDefault="005C721B">
        <w:pPr>
          <w:pStyle w:val="Altbilgi"/>
          <w:jc w:val="right"/>
        </w:pPr>
        <w:r>
          <w:fldChar w:fldCharType="begin"/>
        </w:r>
        <w:r>
          <w:instrText>PAGE   \* MERGEFORMAT</w:instrText>
        </w:r>
        <w:r>
          <w:fldChar w:fldCharType="separate"/>
        </w:r>
        <w:r w:rsidR="0000759B">
          <w:rPr>
            <w:noProof/>
          </w:rPr>
          <w:t>12</w:t>
        </w:r>
        <w:r>
          <w:fldChar w:fldCharType="end"/>
        </w:r>
      </w:p>
    </w:sdtContent>
  </w:sdt>
  <w:p w:rsidR="005C721B" w:rsidRDefault="005C721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0A4" w:rsidRDefault="004B00A4" w:rsidP="007F32DE">
      <w:pPr>
        <w:spacing w:after="0" w:line="240" w:lineRule="auto"/>
      </w:pPr>
      <w:r>
        <w:separator/>
      </w:r>
    </w:p>
  </w:footnote>
  <w:footnote w:type="continuationSeparator" w:id="0">
    <w:p w:rsidR="004B00A4" w:rsidRDefault="004B00A4" w:rsidP="007F32DE">
      <w:pPr>
        <w:spacing w:after="0" w:line="240" w:lineRule="auto"/>
      </w:pPr>
      <w:r>
        <w:continuationSeparator/>
      </w:r>
    </w:p>
  </w:footnote>
  <w:footnote w:id="1">
    <w:p w:rsidR="00533A5B" w:rsidRDefault="00533A5B" w:rsidP="006B45DF">
      <w:pPr>
        <w:pStyle w:val="DipnotMetni"/>
      </w:pPr>
      <w:r>
        <w:rPr>
          <w:rStyle w:val="DipnotBavurusu"/>
        </w:rPr>
        <w:footnoteRef/>
      </w:r>
      <w:r>
        <w:t xml:space="preserve"> İntradermal </w:t>
      </w:r>
      <w:proofErr w:type="gramStart"/>
      <w:r>
        <w:t>enjeksiyon</w:t>
      </w:r>
      <w:proofErr w:type="gramEnd"/>
      <w:r>
        <w:t xml:space="preserve"> epidermisin altındaki dermise, subkutan </w:t>
      </w:r>
      <w:r w:rsidR="006B45DF">
        <w:t>enjeksiyon dermisin altındaki yağ dokusuna</w:t>
      </w:r>
      <w:r>
        <w:t>, intravenöz enjeksiyon ven içerisine ve intramüsküler enjeksiyon kas iç</w:t>
      </w:r>
      <w:r w:rsidR="00A22E68">
        <w:t>erisine</w:t>
      </w:r>
      <w:r>
        <w:t xml:space="preserve"> yapılır.</w:t>
      </w:r>
    </w:p>
  </w:footnote>
  <w:footnote w:id="2">
    <w:p w:rsidR="005C721B" w:rsidRDefault="005C721B" w:rsidP="00993218">
      <w:pPr>
        <w:pStyle w:val="DipnotMetni"/>
      </w:pPr>
      <w:r>
        <w:rPr>
          <w:rStyle w:val="DipnotBavurusu"/>
        </w:rPr>
        <w:footnoteRef/>
      </w:r>
      <w:r>
        <w:t xml:space="preserve"> Bazı kaynaklarda beş doğru vurgulanır: </w:t>
      </w:r>
      <w:r w:rsidRPr="00993218">
        <w:t>doğru ilaç, doğru doz, doğru hasta, doğru bölge</w:t>
      </w:r>
      <w:r w:rsidR="00D135F8">
        <w:t>/yol</w:t>
      </w:r>
      <w:r w:rsidRPr="00993218">
        <w:t>, doğru zaman</w:t>
      </w:r>
    </w:p>
  </w:footnote>
  <w:footnote w:id="3">
    <w:p w:rsidR="00DF048A" w:rsidRDefault="00DF048A">
      <w:pPr>
        <w:pStyle w:val="DipnotMetni"/>
      </w:pPr>
      <w:r>
        <w:rPr>
          <w:rStyle w:val="DipnotBavurusu"/>
        </w:rPr>
        <w:footnoteRef/>
      </w:r>
      <w:r>
        <w:t xml:space="preserve"> </w:t>
      </w:r>
      <w:proofErr w:type="gramStart"/>
      <w:r>
        <w:t>Ampul: İçinde sıvı durumda ilaç bulunan, kapalı cam tüp.</w:t>
      </w:r>
      <w:proofErr w:type="gramEnd"/>
    </w:p>
  </w:footnote>
  <w:footnote w:id="4">
    <w:p w:rsidR="00DF048A" w:rsidRDefault="00DF048A">
      <w:pPr>
        <w:pStyle w:val="DipnotMetni"/>
      </w:pPr>
      <w:r>
        <w:rPr>
          <w:rStyle w:val="DipnotBavurusu"/>
        </w:rPr>
        <w:footnoteRef/>
      </w:r>
      <w:r>
        <w:t xml:space="preserve"> </w:t>
      </w:r>
      <w:r>
        <w:t xml:space="preserve">Flakon: </w:t>
      </w:r>
      <w:r w:rsidRPr="00506A4D">
        <w:t>Lastik kapağının çevresinde metal bulunan, bir veya</w:t>
      </w:r>
      <w:r>
        <w:t xml:space="preserve"> birkaç dozluk sıvı ya da toz ha</w:t>
      </w:r>
      <w:r w:rsidRPr="00506A4D">
        <w:t>linde ilaç içeren küçük cam şişe.</w:t>
      </w:r>
    </w:p>
  </w:footnote>
  <w:footnote w:id="5">
    <w:p w:rsidR="005C721B" w:rsidRDefault="005C721B">
      <w:pPr>
        <w:pStyle w:val="DipnotMetni"/>
      </w:pPr>
      <w:r>
        <w:rPr>
          <w:rStyle w:val="DipnotBavurusu"/>
        </w:rPr>
        <w:footnoteRef/>
      </w:r>
      <w:r>
        <w:t xml:space="preserve"> Flakon içine verilen hava, flakon içindeki basıncı artırarak ilacın enjektöre çekilmesini kolaylaştırır.</w:t>
      </w:r>
    </w:p>
  </w:footnote>
  <w:footnote w:id="6">
    <w:p w:rsidR="00090533" w:rsidRDefault="00090533">
      <w:pPr>
        <w:pStyle w:val="DipnotMetni"/>
      </w:pPr>
      <w:r>
        <w:rPr>
          <w:rStyle w:val="DipnotBavurusu"/>
        </w:rPr>
        <w:footnoteRef/>
      </w:r>
      <w:r>
        <w:t xml:space="preserve"> Bazı kaynaklara göre 5-10 saniye/mL.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6AEB"/>
      </v:shape>
    </w:pict>
  </w:numPicBullet>
  <w:abstractNum w:abstractNumId="0">
    <w:nsid w:val="00393871"/>
    <w:multiLevelType w:val="hybridMultilevel"/>
    <w:tmpl w:val="09263C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0B6F3C"/>
    <w:multiLevelType w:val="hybridMultilevel"/>
    <w:tmpl w:val="262E02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927F97"/>
    <w:multiLevelType w:val="hybridMultilevel"/>
    <w:tmpl w:val="5610FD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3D0BC8"/>
    <w:multiLevelType w:val="hybridMultilevel"/>
    <w:tmpl w:val="F7A2A3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FC5757"/>
    <w:multiLevelType w:val="hybridMultilevel"/>
    <w:tmpl w:val="0F9AE962"/>
    <w:lvl w:ilvl="0" w:tplc="F808D3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8F5680"/>
    <w:multiLevelType w:val="hybridMultilevel"/>
    <w:tmpl w:val="4E047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A602250"/>
    <w:multiLevelType w:val="hybridMultilevel"/>
    <w:tmpl w:val="9EF6D256"/>
    <w:lvl w:ilvl="0" w:tplc="31CE160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071717C"/>
    <w:multiLevelType w:val="hybridMultilevel"/>
    <w:tmpl w:val="C9C63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F6A6DF4"/>
    <w:multiLevelType w:val="hybridMultilevel"/>
    <w:tmpl w:val="086097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25C4D24"/>
    <w:multiLevelType w:val="hybridMultilevel"/>
    <w:tmpl w:val="274E38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C77D1"/>
    <w:multiLevelType w:val="hybridMultilevel"/>
    <w:tmpl w:val="A694F9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B65FC6"/>
    <w:multiLevelType w:val="hybridMultilevel"/>
    <w:tmpl w:val="D7AEEA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E372FCD"/>
    <w:multiLevelType w:val="hybridMultilevel"/>
    <w:tmpl w:val="FCDC2500"/>
    <w:lvl w:ilvl="0" w:tplc="A9B86A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15256F6"/>
    <w:multiLevelType w:val="hybridMultilevel"/>
    <w:tmpl w:val="B4BE94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2854962"/>
    <w:multiLevelType w:val="hybridMultilevel"/>
    <w:tmpl w:val="7F9858F2"/>
    <w:lvl w:ilvl="0" w:tplc="5462C00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790509F"/>
    <w:multiLevelType w:val="hybridMultilevel"/>
    <w:tmpl w:val="4774C5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18B2550"/>
    <w:multiLevelType w:val="hybridMultilevel"/>
    <w:tmpl w:val="599ABD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71E0962"/>
    <w:multiLevelType w:val="hybridMultilevel"/>
    <w:tmpl w:val="6450CC3A"/>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8">
    <w:nsid w:val="7A322AEC"/>
    <w:multiLevelType w:val="hybridMultilevel"/>
    <w:tmpl w:val="AC4EA5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4"/>
  </w:num>
  <w:num w:numId="4">
    <w:abstractNumId w:val="4"/>
  </w:num>
  <w:num w:numId="5">
    <w:abstractNumId w:val="12"/>
  </w:num>
  <w:num w:numId="6">
    <w:abstractNumId w:val="9"/>
  </w:num>
  <w:num w:numId="7">
    <w:abstractNumId w:val="0"/>
  </w:num>
  <w:num w:numId="8">
    <w:abstractNumId w:val="8"/>
  </w:num>
  <w:num w:numId="9">
    <w:abstractNumId w:val="10"/>
  </w:num>
  <w:num w:numId="10">
    <w:abstractNumId w:val="17"/>
  </w:num>
  <w:num w:numId="11">
    <w:abstractNumId w:val="2"/>
  </w:num>
  <w:num w:numId="12">
    <w:abstractNumId w:val="15"/>
  </w:num>
  <w:num w:numId="13">
    <w:abstractNumId w:val="13"/>
  </w:num>
  <w:num w:numId="14">
    <w:abstractNumId w:val="3"/>
  </w:num>
  <w:num w:numId="15">
    <w:abstractNumId w:val="7"/>
  </w:num>
  <w:num w:numId="16">
    <w:abstractNumId w:val="18"/>
  </w:num>
  <w:num w:numId="17">
    <w:abstractNumId w:val="16"/>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C"/>
    <w:rsid w:val="00004726"/>
    <w:rsid w:val="0000759B"/>
    <w:rsid w:val="0002149E"/>
    <w:rsid w:val="00022BAC"/>
    <w:rsid w:val="0002320D"/>
    <w:rsid w:val="000319FB"/>
    <w:rsid w:val="00043381"/>
    <w:rsid w:val="00050695"/>
    <w:rsid w:val="00060A6A"/>
    <w:rsid w:val="00067AB2"/>
    <w:rsid w:val="00071759"/>
    <w:rsid w:val="00081EA8"/>
    <w:rsid w:val="00090533"/>
    <w:rsid w:val="000909F2"/>
    <w:rsid w:val="000923B3"/>
    <w:rsid w:val="00093E60"/>
    <w:rsid w:val="000A47EC"/>
    <w:rsid w:val="000D0F67"/>
    <w:rsid w:val="000D566F"/>
    <w:rsid w:val="000E099B"/>
    <w:rsid w:val="000E4B95"/>
    <w:rsid w:val="000F7D82"/>
    <w:rsid w:val="00113800"/>
    <w:rsid w:val="001237EE"/>
    <w:rsid w:val="00165591"/>
    <w:rsid w:val="00171A25"/>
    <w:rsid w:val="00174C5E"/>
    <w:rsid w:val="00182F8A"/>
    <w:rsid w:val="00183703"/>
    <w:rsid w:val="00184908"/>
    <w:rsid w:val="00196289"/>
    <w:rsid w:val="001A5AE8"/>
    <w:rsid w:val="001A6510"/>
    <w:rsid w:val="001B675A"/>
    <w:rsid w:val="001C52D6"/>
    <w:rsid w:val="001C6E99"/>
    <w:rsid w:val="001D7521"/>
    <w:rsid w:val="001E1B23"/>
    <w:rsid w:val="001F3CCC"/>
    <w:rsid w:val="0020643E"/>
    <w:rsid w:val="00217467"/>
    <w:rsid w:val="002200EB"/>
    <w:rsid w:val="00236439"/>
    <w:rsid w:val="00242094"/>
    <w:rsid w:val="00251DA8"/>
    <w:rsid w:val="00261544"/>
    <w:rsid w:val="00273C3B"/>
    <w:rsid w:val="00274153"/>
    <w:rsid w:val="002745AF"/>
    <w:rsid w:val="002747AD"/>
    <w:rsid w:val="00293622"/>
    <w:rsid w:val="002A50AB"/>
    <w:rsid w:val="002C416A"/>
    <w:rsid w:val="002D0007"/>
    <w:rsid w:val="002E1305"/>
    <w:rsid w:val="002F5EAF"/>
    <w:rsid w:val="00304302"/>
    <w:rsid w:val="00311688"/>
    <w:rsid w:val="0031244B"/>
    <w:rsid w:val="00312642"/>
    <w:rsid w:val="0031683A"/>
    <w:rsid w:val="003520AE"/>
    <w:rsid w:val="003546FD"/>
    <w:rsid w:val="0036759C"/>
    <w:rsid w:val="00371779"/>
    <w:rsid w:val="003810F3"/>
    <w:rsid w:val="00381B10"/>
    <w:rsid w:val="00396C7A"/>
    <w:rsid w:val="003A1EEF"/>
    <w:rsid w:val="003A2275"/>
    <w:rsid w:val="003A3755"/>
    <w:rsid w:val="003A5AB8"/>
    <w:rsid w:val="003A64E6"/>
    <w:rsid w:val="003B1514"/>
    <w:rsid w:val="003B1A9F"/>
    <w:rsid w:val="003B4148"/>
    <w:rsid w:val="003E0468"/>
    <w:rsid w:val="00404E7C"/>
    <w:rsid w:val="004068EE"/>
    <w:rsid w:val="004103DF"/>
    <w:rsid w:val="00411A59"/>
    <w:rsid w:val="004124E9"/>
    <w:rsid w:val="00416C44"/>
    <w:rsid w:val="0042093F"/>
    <w:rsid w:val="004223A9"/>
    <w:rsid w:val="00430CB5"/>
    <w:rsid w:val="00436858"/>
    <w:rsid w:val="00437F56"/>
    <w:rsid w:val="004408CF"/>
    <w:rsid w:val="00453DDA"/>
    <w:rsid w:val="004957EA"/>
    <w:rsid w:val="00496C49"/>
    <w:rsid w:val="004B00A4"/>
    <w:rsid w:val="004B7DA6"/>
    <w:rsid w:val="004C104D"/>
    <w:rsid w:val="004C372E"/>
    <w:rsid w:val="004C3DB7"/>
    <w:rsid w:val="004C47A7"/>
    <w:rsid w:val="004D64C3"/>
    <w:rsid w:val="004E46E9"/>
    <w:rsid w:val="004F3F8F"/>
    <w:rsid w:val="004F4E3D"/>
    <w:rsid w:val="00506A4D"/>
    <w:rsid w:val="00521C7E"/>
    <w:rsid w:val="00522F56"/>
    <w:rsid w:val="00533A5B"/>
    <w:rsid w:val="005341A5"/>
    <w:rsid w:val="005470E5"/>
    <w:rsid w:val="00550F64"/>
    <w:rsid w:val="005569B4"/>
    <w:rsid w:val="00585B1F"/>
    <w:rsid w:val="00593CC1"/>
    <w:rsid w:val="0059531A"/>
    <w:rsid w:val="00595890"/>
    <w:rsid w:val="005B201B"/>
    <w:rsid w:val="005B6D69"/>
    <w:rsid w:val="005C15AB"/>
    <w:rsid w:val="005C294B"/>
    <w:rsid w:val="005C4DF0"/>
    <w:rsid w:val="005C721B"/>
    <w:rsid w:val="005D64E3"/>
    <w:rsid w:val="005E3193"/>
    <w:rsid w:val="005F6D44"/>
    <w:rsid w:val="00604495"/>
    <w:rsid w:val="00617E27"/>
    <w:rsid w:val="006434C2"/>
    <w:rsid w:val="00643A34"/>
    <w:rsid w:val="00666D56"/>
    <w:rsid w:val="006709F0"/>
    <w:rsid w:val="0068218A"/>
    <w:rsid w:val="0068483E"/>
    <w:rsid w:val="00687634"/>
    <w:rsid w:val="006944A9"/>
    <w:rsid w:val="006946B6"/>
    <w:rsid w:val="006A0155"/>
    <w:rsid w:val="006A4C2E"/>
    <w:rsid w:val="006B45DF"/>
    <w:rsid w:val="006B6628"/>
    <w:rsid w:val="006C32B7"/>
    <w:rsid w:val="006C32BE"/>
    <w:rsid w:val="006D4AD6"/>
    <w:rsid w:val="006E17BB"/>
    <w:rsid w:val="006E6543"/>
    <w:rsid w:val="00710C36"/>
    <w:rsid w:val="00717022"/>
    <w:rsid w:val="007172EA"/>
    <w:rsid w:val="0072359E"/>
    <w:rsid w:val="00735138"/>
    <w:rsid w:val="00767AF6"/>
    <w:rsid w:val="007713D6"/>
    <w:rsid w:val="00787B29"/>
    <w:rsid w:val="0079562F"/>
    <w:rsid w:val="00795E35"/>
    <w:rsid w:val="00797E05"/>
    <w:rsid w:val="007A7542"/>
    <w:rsid w:val="007B44DA"/>
    <w:rsid w:val="007C75AA"/>
    <w:rsid w:val="007D74A1"/>
    <w:rsid w:val="007D74A5"/>
    <w:rsid w:val="007E0F21"/>
    <w:rsid w:val="007F32DE"/>
    <w:rsid w:val="00803866"/>
    <w:rsid w:val="00810F3D"/>
    <w:rsid w:val="008320E8"/>
    <w:rsid w:val="0083349C"/>
    <w:rsid w:val="00837642"/>
    <w:rsid w:val="00871B8A"/>
    <w:rsid w:val="008812EF"/>
    <w:rsid w:val="00881986"/>
    <w:rsid w:val="00885186"/>
    <w:rsid w:val="00885D13"/>
    <w:rsid w:val="0089434C"/>
    <w:rsid w:val="00896BB3"/>
    <w:rsid w:val="008A7AB6"/>
    <w:rsid w:val="008B0237"/>
    <w:rsid w:val="008B4388"/>
    <w:rsid w:val="008B7D66"/>
    <w:rsid w:val="008C0768"/>
    <w:rsid w:val="008C7B5D"/>
    <w:rsid w:val="008D1B74"/>
    <w:rsid w:val="008D7EB1"/>
    <w:rsid w:val="008E2F1A"/>
    <w:rsid w:val="008F378C"/>
    <w:rsid w:val="008F6A2A"/>
    <w:rsid w:val="009031D7"/>
    <w:rsid w:val="009104C3"/>
    <w:rsid w:val="00910A23"/>
    <w:rsid w:val="0092078D"/>
    <w:rsid w:val="00922E42"/>
    <w:rsid w:val="009237B2"/>
    <w:rsid w:val="00925C44"/>
    <w:rsid w:val="00933C73"/>
    <w:rsid w:val="00965F28"/>
    <w:rsid w:val="00973102"/>
    <w:rsid w:val="009925D2"/>
    <w:rsid w:val="00993218"/>
    <w:rsid w:val="009A24C4"/>
    <w:rsid w:val="009A3654"/>
    <w:rsid w:val="009B21CA"/>
    <w:rsid w:val="009B5A25"/>
    <w:rsid w:val="009D08D0"/>
    <w:rsid w:val="00A2072E"/>
    <w:rsid w:val="00A22E68"/>
    <w:rsid w:val="00A30E8A"/>
    <w:rsid w:val="00A32D47"/>
    <w:rsid w:val="00A33961"/>
    <w:rsid w:val="00A45106"/>
    <w:rsid w:val="00A54E82"/>
    <w:rsid w:val="00A604AF"/>
    <w:rsid w:val="00A62E8C"/>
    <w:rsid w:val="00A632DC"/>
    <w:rsid w:val="00A70C88"/>
    <w:rsid w:val="00A71F4D"/>
    <w:rsid w:val="00A82F3C"/>
    <w:rsid w:val="00A83403"/>
    <w:rsid w:val="00AA3EE5"/>
    <w:rsid w:val="00AB2B79"/>
    <w:rsid w:val="00AB3231"/>
    <w:rsid w:val="00AB7510"/>
    <w:rsid w:val="00AC1D19"/>
    <w:rsid w:val="00AE0E50"/>
    <w:rsid w:val="00AE7D0E"/>
    <w:rsid w:val="00AF4C25"/>
    <w:rsid w:val="00AF62F7"/>
    <w:rsid w:val="00AF7801"/>
    <w:rsid w:val="00B071D6"/>
    <w:rsid w:val="00B10FAE"/>
    <w:rsid w:val="00B20760"/>
    <w:rsid w:val="00B3000F"/>
    <w:rsid w:val="00B442DC"/>
    <w:rsid w:val="00B52DB7"/>
    <w:rsid w:val="00B53199"/>
    <w:rsid w:val="00B53930"/>
    <w:rsid w:val="00B81377"/>
    <w:rsid w:val="00B9358A"/>
    <w:rsid w:val="00B953DB"/>
    <w:rsid w:val="00B97BC6"/>
    <w:rsid w:val="00BA2602"/>
    <w:rsid w:val="00BA7AEF"/>
    <w:rsid w:val="00BB5604"/>
    <w:rsid w:val="00BC0895"/>
    <w:rsid w:val="00BC34F6"/>
    <w:rsid w:val="00C11D38"/>
    <w:rsid w:val="00C36903"/>
    <w:rsid w:val="00C479F4"/>
    <w:rsid w:val="00C554B4"/>
    <w:rsid w:val="00C600F2"/>
    <w:rsid w:val="00C605E8"/>
    <w:rsid w:val="00C662E6"/>
    <w:rsid w:val="00C719A8"/>
    <w:rsid w:val="00C85C5F"/>
    <w:rsid w:val="00C929F5"/>
    <w:rsid w:val="00CA140D"/>
    <w:rsid w:val="00CA35EC"/>
    <w:rsid w:val="00CB568F"/>
    <w:rsid w:val="00CB6FE9"/>
    <w:rsid w:val="00CD34F1"/>
    <w:rsid w:val="00D05313"/>
    <w:rsid w:val="00D1290E"/>
    <w:rsid w:val="00D135F8"/>
    <w:rsid w:val="00D344E0"/>
    <w:rsid w:val="00D3679B"/>
    <w:rsid w:val="00D45221"/>
    <w:rsid w:val="00D46291"/>
    <w:rsid w:val="00D53849"/>
    <w:rsid w:val="00D540AD"/>
    <w:rsid w:val="00D62A86"/>
    <w:rsid w:val="00D7120D"/>
    <w:rsid w:val="00D7235E"/>
    <w:rsid w:val="00D758BF"/>
    <w:rsid w:val="00D80AB9"/>
    <w:rsid w:val="00D8532C"/>
    <w:rsid w:val="00D85CC5"/>
    <w:rsid w:val="00DC1D1E"/>
    <w:rsid w:val="00DC4014"/>
    <w:rsid w:val="00DD4A76"/>
    <w:rsid w:val="00DE0F36"/>
    <w:rsid w:val="00DE7D6B"/>
    <w:rsid w:val="00DF048A"/>
    <w:rsid w:val="00DF133F"/>
    <w:rsid w:val="00DF2325"/>
    <w:rsid w:val="00DF23ED"/>
    <w:rsid w:val="00DF4592"/>
    <w:rsid w:val="00E0436F"/>
    <w:rsid w:val="00E06ADE"/>
    <w:rsid w:val="00E123CB"/>
    <w:rsid w:val="00E16F8D"/>
    <w:rsid w:val="00E20DFD"/>
    <w:rsid w:val="00E32DA1"/>
    <w:rsid w:val="00E55E6F"/>
    <w:rsid w:val="00E605A1"/>
    <w:rsid w:val="00E6176F"/>
    <w:rsid w:val="00E63F48"/>
    <w:rsid w:val="00E82725"/>
    <w:rsid w:val="00EB2329"/>
    <w:rsid w:val="00EC0560"/>
    <w:rsid w:val="00EC0AD8"/>
    <w:rsid w:val="00EF1443"/>
    <w:rsid w:val="00EF3F15"/>
    <w:rsid w:val="00EF7A1B"/>
    <w:rsid w:val="00F13703"/>
    <w:rsid w:val="00F22B67"/>
    <w:rsid w:val="00F26DD3"/>
    <w:rsid w:val="00F3025B"/>
    <w:rsid w:val="00F333FF"/>
    <w:rsid w:val="00F340D3"/>
    <w:rsid w:val="00F36385"/>
    <w:rsid w:val="00F37216"/>
    <w:rsid w:val="00F47254"/>
    <w:rsid w:val="00F53B77"/>
    <w:rsid w:val="00F622B7"/>
    <w:rsid w:val="00F8058A"/>
    <w:rsid w:val="00F85835"/>
    <w:rsid w:val="00F95335"/>
    <w:rsid w:val="00FC6199"/>
    <w:rsid w:val="00FD1B2A"/>
    <w:rsid w:val="00FD3FCC"/>
    <w:rsid w:val="00FD6BB5"/>
    <w:rsid w:val="00FE2F6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925C4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25C44"/>
    <w:rPr>
      <w:sz w:val="20"/>
      <w:szCs w:val="20"/>
    </w:rPr>
  </w:style>
  <w:style w:type="character" w:styleId="DipnotBavurusu">
    <w:name w:val="footnote reference"/>
    <w:basedOn w:val="VarsaylanParagrafYazTipi"/>
    <w:uiPriority w:val="99"/>
    <w:semiHidden/>
    <w:unhideWhenUsed/>
    <w:rsid w:val="00925C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925C4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25C44"/>
    <w:rPr>
      <w:sz w:val="20"/>
      <w:szCs w:val="20"/>
    </w:rPr>
  </w:style>
  <w:style w:type="character" w:styleId="DipnotBavurusu">
    <w:name w:val="footnote reference"/>
    <w:basedOn w:val="VarsaylanParagrafYazTipi"/>
    <w:uiPriority w:val="99"/>
    <w:semiHidden/>
    <w:unhideWhenUsed/>
    <w:rsid w:val="00925C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443BC-A337-4325-BE72-D211551B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1</Pages>
  <Words>1533</Words>
  <Characters>8743</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44</cp:revision>
  <cp:lastPrinted>2022-04-11T03:53:00Z</cp:lastPrinted>
  <dcterms:created xsi:type="dcterms:W3CDTF">2021-11-07T11:48:00Z</dcterms:created>
  <dcterms:modified xsi:type="dcterms:W3CDTF">2022-04-11T03:53:00Z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99a72579-1717-3ca4-9079-79b95e9dc3fc</vt:lpwstr>
  </property>
  <property fmtid="{D5CDD505-2E9C-101B-9397-08002B2CF9AE}" pid="24" name="Mendeley Citation Style_1">
    <vt:lpwstr>http://www.zotero.org/styles/vancouver</vt:lpwstr>
  </property>
</Properties>
</file>