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B3" w:rsidRPr="0069714E" w:rsidRDefault="0069714E" w:rsidP="00F062FD">
      <w:pPr>
        <w:jc w:val="center"/>
        <w:rPr>
          <w:b/>
          <w:bCs/>
          <w:sz w:val="32"/>
          <w:szCs w:val="32"/>
        </w:rPr>
      </w:pPr>
      <w:bookmarkStart w:id="0" w:name="_GoBack"/>
      <w:bookmarkEnd w:id="0"/>
      <w:r w:rsidRPr="0069714E">
        <w:rPr>
          <w:b/>
          <w:bCs/>
          <w:sz w:val="32"/>
          <w:szCs w:val="32"/>
        </w:rPr>
        <w:t>A</w:t>
      </w:r>
      <w:r w:rsidR="00F062FD">
        <w:rPr>
          <w:b/>
          <w:bCs/>
          <w:sz w:val="32"/>
          <w:szCs w:val="32"/>
        </w:rPr>
        <w:t>TEŞ</w:t>
      </w:r>
    </w:p>
    <w:p w:rsidR="008307E1" w:rsidRPr="00F017B6" w:rsidRDefault="00CF5376">
      <w:pPr>
        <w:rPr>
          <w:b/>
          <w:bCs/>
          <w:sz w:val="28"/>
          <w:szCs w:val="28"/>
        </w:rPr>
      </w:pPr>
      <w:r w:rsidRPr="00F017B6">
        <w:rPr>
          <w:b/>
          <w:bCs/>
          <w:sz w:val="28"/>
          <w:szCs w:val="28"/>
        </w:rPr>
        <w:t>1</w:t>
      </w:r>
      <w:r w:rsidR="00D244BA" w:rsidRPr="00F017B6">
        <w:rPr>
          <w:b/>
          <w:bCs/>
          <w:sz w:val="28"/>
          <w:szCs w:val="28"/>
        </w:rPr>
        <w:t xml:space="preserve">. </w:t>
      </w:r>
      <w:r w:rsidR="008307E1" w:rsidRPr="00F017B6">
        <w:rPr>
          <w:b/>
          <w:bCs/>
          <w:sz w:val="28"/>
          <w:szCs w:val="28"/>
        </w:rPr>
        <w:t>Genel Bilgiler</w:t>
      </w:r>
    </w:p>
    <w:p w:rsidR="00F017B6" w:rsidRPr="008307E1" w:rsidRDefault="007A2106" w:rsidP="00010250">
      <w:pPr>
        <w:jc w:val="both"/>
      </w:pPr>
      <w:r w:rsidRPr="007A2106">
        <w:t xml:space="preserve">Ortalama normal vücut sıcaklığı genellikle </w:t>
      </w:r>
      <w:r>
        <w:t>37 °C</w:t>
      </w:r>
      <w:r w:rsidRPr="007A2106">
        <w:t xml:space="preserve"> olarak kabul edilir. </w:t>
      </w:r>
      <w:r>
        <w:t>Bu değer</w:t>
      </w:r>
      <w:r w:rsidRPr="007A2106">
        <w:t xml:space="preserve">, </w:t>
      </w:r>
      <w:r>
        <w:t xml:space="preserve">normalde, </w:t>
      </w:r>
      <w:proofErr w:type="gramStart"/>
      <w:r>
        <w:t>36.</w:t>
      </w:r>
      <w:r w:rsidR="002E577C">
        <w:t>5</w:t>
      </w:r>
      <w:proofErr w:type="gramEnd"/>
      <w:r>
        <w:t xml:space="preserve"> °C</w:t>
      </w:r>
      <w:r w:rsidRPr="007A2106">
        <w:t xml:space="preserve"> ila </w:t>
      </w:r>
      <w:r>
        <w:t>37.</w:t>
      </w:r>
      <w:r w:rsidR="002E577C">
        <w:t>5</w:t>
      </w:r>
      <w:r>
        <w:t xml:space="preserve"> °C</w:t>
      </w:r>
      <w:r w:rsidRPr="007A2106">
        <w:t xml:space="preserve"> arasında </w:t>
      </w:r>
      <w:r>
        <w:t>değişkenlik gösterebilir</w:t>
      </w:r>
      <w:r w:rsidRPr="007A2106">
        <w:t xml:space="preserve">. Sağlıklı bir insanın vücut ısısı gün boyunca dalgalanır; sabahları daha </w:t>
      </w:r>
      <w:r>
        <w:t>düşük</w:t>
      </w:r>
      <w:r w:rsidRPr="007A2106">
        <w:t xml:space="preserve">, öğleden sonraları daha </w:t>
      </w:r>
      <w:r>
        <w:t>yüksek</w:t>
      </w:r>
      <w:r w:rsidRPr="007A2106">
        <w:t xml:space="preserve"> olur.</w:t>
      </w:r>
      <w:r>
        <w:t xml:space="preserve"> </w:t>
      </w:r>
      <w:r w:rsidR="005C12F2">
        <w:t xml:space="preserve">Kadınların vücut sıcaklığı </w:t>
      </w:r>
      <w:proofErr w:type="gramStart"/>
      <w:r w:rsidR="005C12F2">
        <w:t>erkeklerinkine  göre</w:t>
      </w:r>
      <w:proofErr w:type="gramEnd"/>
      <w:r w:rsidR="005C12F2">
        <w:t xml:space="preserve"> daha yüksektir. </w:t>
      </w:r>
      <w:r w:rsidR="00930F94">
        <w:t xml:space="preserve">Yaşlılarda vücut sıcaklığı daha düşüktür. </w:t>
      </w:r>
      <w:r w:rsidRPr="007A2106">
        <w:t>38</w:t>
      </w:r>
      <w:r>
        <w:t xml:space="preserve"> </w:t>
      </w:r>
      <w:r w:rsidRPr="007A2106">
        <w:t xml:space="preserve">°C'nin </w:t>
      </w:r>
      <w:r>
        <w:t>üzerindeki vücut sıcaklıkları</w:t>
      </w:r>
      <w:r w:rsidRPr="007A2106">
        <w:t xml:space="preserve"> </w:t>
      </w:r>
      <w:r>
        <w:t xml:space="preserve">ateş olarak adlandırılmaktadır. </w:t>
      </w:r>
      <w:r w:rsidR="00DE37E9" w:rsidRPr="00DE37E9">
        <w:t>Ateş</w:t>
      </w:r>
      <w:r w:rsidR="00DE37E9">
        <w:t xml:space="preserve">, enfeksiyöz ve inflamatuvar hastalıkların yaygın bir belirtisi ve bulgusudur. </w:t>
      </w:r>
      <w:r w:rsidR="00F017B6">
        <w:t>Artmış vücut sıcaklığının immun hücrelerin aktivitesin</w:t>
      </w:r>
      <w:r w:rsidR="00010250">
        <w:t>i artırdığı ifade edilmektedir.</w:t>
      </w:r>
    </w:p>
    <w:p w:rsidR="0069714E" w:rsidRPr="00F017B6" w:rsidRDefault="00CF5376">
      <w:pPr>
        <w:rPr>
          <w:b/>
          <w:bCs/>
          <w:sz w:val="28"/>
          <w:szCs w:val="28"/>
        </w:rPr>
      </w:pPr>
      <w:r w:rsidRPr="00F017B6">
        <w:rPr>
          <w:b/>
          <w:bCs/>
          <w:sz w:val="28"/>
          <w:szCs w:val="28"/>
        </w:rPr>
        <w:t>2</w:t>
      </w:r>
      <w:r w:rsidR="0069714E" w:rsidRPr="00F017B6">
        <w:rPr>
          <w:b/>
          <w:bCs/>
          <w:sz w:val="28"/>
          <w:szCs w:val="28"/>
        </w:rPr>
        <w:t>. Ateşin Oluşum Mekanizması</w:t>
      </w:r>
    </w:p>
    <w:p w:rsidR="004918EE" w:rsidRPr="004918EE" w:rsidRDefault="004918EE" w:rsidP="004918EE">
      <w:pPr>
        <w:jc w:val="both"/>
        <w:rPr>
          <w:b/>
          <w:bCs/>
          <w:sz w:val="24"/>
          <w:szCs w:val="24"/>
        </w:rPr>
      </w:pPr>
      <w:proofErr w:type="gramStart"/>
      <w:r w:rsidRPr="004918EE">
        <w:rPr>
          <w:b/>
          <w:bCs/>
          <w:sz w:val="24"/>
          <w:szCs w:val="24"/>
        </w:rPr>
        <w:t>a</w:t>
      </w:r>
      <w:proofErr w:type="gramEnd"/>
      <w:r w:rsidRPr="004918EE">
        <w:rPr>
          <w:b/>
          <w:bCs/>
          <w:sz w:val="24"/>
          <w:szCs w:val="24"/>
        </w:rPr>
        <w:t>. Tarihçe</w:t>
      </w:r>
    </w:p>
    <w:p w:rsidR="004918EE" w:rsidRDefault="004918EE" w:rsidP="00DE243E">
      <w:pPr>
        <w:jc w:val="both"/>
      </w:pPr>
      <w:r>
        <w:t xml:space="preserve">19. yüzyılın sonlarında </w:t>
      </w:r>
      <w:r w:rsidRPr="00730D47">
        <w:t>Amerikalı hekim William Welch (</w:t>
      </w:r>
      <w:r>
        <w:t>1850-</w:t>
      </w:r>
      <w:r w:rsidRPr="00730D47">
        <w:t>1934)</w:t>
      </w:r>
      <w:r>
        <w:t xml:space="preserve"> s</w:t>
      </w:r>
      <w:r w:rsidRPr="00730D47">
        <w:t>ervikal omurilik kesisi olan hayvanlara intravenöz pirojen</w:t>
      </w:r>
      <w:r>
        <w:rPr>
          <w:rStyle w:val="DipnotBavurusu"/>
        </w:rPr>
        <w:footnoteReference w:id="1"/>
      </w:r>
      <w:r w:rsidRPr="00730D47">
        <w:t xml:space="preserve"> </w:t>
      </w:r>
      <w:proofErr w:type="gramStart"/>
      <w:r w:rsidRPr="00730D47">
        <w:t>enjeksiyonu</w:t>
      </w:r>
      <w:proofErr w:type="gramEnd"/>
      <w:r w:rsidRPr="00730D47">
        <w:t xml:space="preserve"> </w:t>
      </w:r>
      <w:r>
        <w:t>uygulandığında ateş</w:t>
      </w:r>
      <w:r w:rsidRPr="00730D47">
        <w:t xml:space="preserve"> tepki</w:t>
      </w:r>
      <w:r>
        <w:t>sinin</w:t>
      </w:r>
      <w:r w:rsidRPr="00730D47">
        <w:t xml:space="preserve"> </w:t>
      </w:r>
      <w:r>
        <w:t xml:space="preserve">oluşmadığını gözlemlemiştir. Bu gözlem, ateş oluşumunda </w:t>
      </w:r>
      <w:r w:rsidRPr="004918EE">
        <w:rPr>
          <w:u w:val="single"/>
        </w:rPr>
        <w:t>beynin merkezi rolünü</w:t>
      </w:r>
      <w:r>
        <w:t xml:space="preserve"> ortaya koymuştur. 1967 yılında Cooper ve ekibi</w:t>
      </w:r>
      <w:r>
        <w:rPr>
          <w:rStyle w:val="DipnotBavurusu"/>
        </w:rPr>
        <w:footnoteReference w:id="2"/>
      </w:r>
      <w:r>
        <w:t xml:space="preserve">, tavşan beyninde </w:t>
      </w:r>
      <w:r w:rsidRPr="004918EE">
        <w:rPr>
          <w:u w:val="single"/>
        </w:rPr>
        <w:t>preoptik alana</w:t>
      </w:r>
      <w:r>
        <w:t xml:space="preserve"> pirojen enjekte edildiğinde ateşin ortaya çıktığını, ancak diğer beyin bölgelerine yapılan pirojen </w:t>
      </w:r>
      <w:proofErr w:type="gramStart"/>
      <w:r>
        <w:t>enjeksiyonlarının</w:t>
      </w:r>
      <w:proofErr w:type="gramEnd"/>
      <w:r>
        <w:t xml:space="preserve"> ateş oluşturmadığını rapor etmişlerdir. 1970’lerin başında ateş oluşumunda </w:t>
      </w:r>
      <w:r w:rsidRPr="004918EE">
        <w:rPr>
          <w:u w:val="single"/>
        </w:rPr>
        <w:t xml:space="preserve">prostaglandin E </w:t>
      </w:r>
      <w:r>
        <w:t xml:space="preserve">serisinin rolü olduğu ve ateş düşürücü ilaçların prostaglandin sentezini inhibe ederek etki gösterdiği anlaşılmıştır. </w:t>
      </w:r>
      <w:r w:rsidR="004E30F7">
        <w:t xml:space="preserve">Beynin </w:t>
      </w:r>
      <w:r w:rsidR="004E30F7" w:rsidRPr="004918EE">
        <w:rPr>
          <w:u w:val="single"/>
        </w:rPr>
        <w:t>damarsal yapısında</w:t>
      </w:r>
      <w:r w:rsidR="004E30F7">
        <w:rPr>
          <w:u w:val="single"/>
        </w:rPr>
        <w:t>,</w:t>
      </w:r>
      <w:r w:rsidR="004E30F7">
        <w:t xml:space="preserve"> </w:t>
      </w:r>
      <w:r>
        <w:t>1980’lerin sonlarında PGE</w:t>
      </w:r>
      <w:r w:rsidRPr="004918EE">
        <w:rPr>
          <w:vertAlign w:val="subscript"/>
        </w:rPr>
        <w:t>2</w:t>
      </w:r>
      <w:r w:rsidR="004E30F7">
        <w:t xml:space="preserve"> üretiminin mevcudiyeti, </w:t>
      </w:r>
      <w:r w:rsidR="00DB7EC5">
        <w:t>1990’lı yıllarda siklooksijenaz 2 (</w:t>
      </w:r>
      <w:r w:rsidR="00DB7EC5" w:rsidRPr="00DB7EC5">
        <w:rPr>
          <w:i/>
          <w:iCs/>
        </w:rPr>
        <w:t>cyclooxygenase-2</w:t>
      </w:r>
      <w:r w:rsidR="00DB7EC5">
        <w:t xml:space="preserve">, COX-2) </w:t>
      </w:r>
      <w:r w:rsidR="004E30F7">
        <w:t xml:space="preserve">ekspresyonu ve </w:t>
      </w:r>
      <w:r w:rsidR="00DB7EC5">
        <w:t>2000’lerin başlarında</w:t>
      </w:r>
      <w:r w:rsidR="004E30F7">
        <w:t xml:space="preserve"> da</w:t>
      </w:r>
      <w:r w:rsidR="00DB7EC5">
        <w:t xml:space="preserve"> PGE</w:t>
      </w:r>
      <w:r w:rsidR="00DB7EC5" w:rsidRPr="00DB7EC5">
        <w:rPr>
          <w:vertAlign w:val="subscript"/>
        </w:rPr>
        <w:t>2</w:t>
      </w:r>
      <w:r w:rsidR="00DB7EC5">
        <w:t xml:space="preserve"> sentaz</w:t>
      </w:r>
      <w:r w:rsidR="00DB7EC5">
        <w:rPr>
          <w:rStyle w:val="DipnotBavurusu"/>
        </w:rPr>
        <w:footnoteReference w:id="3"/>
      </w:r>
      <w:r w:rsidR="00DB7EC5">
        <w:t xml:space="preserve"> ekspresyonu gösterilmiştir. </w:t>
      </w:r>
      <w:r>
        <w:t xml:space="preserve">20. yüzyılın başlarında Alman hekimler </w:t>
      </w:r>
      <w:r w:rsidRPr="00773EF9">
        <w:t>Max Lewandowsky (</w:t>
      </w:r>
      <w:r>
        <w:t>1876-</w:t>
      </w:r>
      <w:r w:rsidRPr="00773EF9">
        <w:t xml:space="preserve">1916) </w:t>
      </w:r>
      <w:r>
        <w:t>ve Edwin Goldman (1862-</w:t>
      </w:r>
      <w:r w:rsidRPr="00773EF9">
        <w:t>1913)</w:t>
      </w:r>
      <w:r>
        <w:t xml:space="preserve"> tarafından kan-beyin bariyerinin tanımlanmasının ardından, iltihaplanma sürecinde salınan ve ateş oluşumuna yol açan maddelerin kan-beyin bariyerine rağmen bey</w:t>
      </w:r>
      <w:r w:rsidRPr="00D43B96">
        <w:t>n</w:t>
      </w:r>
      <w:r>
        <w:t>i</w:t>
      </w:r>
      <w:r w:rsidRPr="00D43B96">
        <w:t xml:space="preserve"> </w:t>
      </w:r>
      <w:r>
        <w:t>na</w:t>
      </w:r>
      <w:r w:rsidRPr="00D43B96">
        <w:t>sıl etkile</w:t>
      </w:r>
      <w:r>
        <w:t>diği</w:t>
      </w:r>
      <w:r w:rsidRPr="00D43B96">
        <w:t xml:space="preserve"> </w:t>
      </w:r>
      <w:r>
        <w:t>sorusuna bir cevap aranmıştır. Günümüzde, ateş oluşumuna yol açan endojen pirojenlerin</w:t>
      </w:r>
      <w:r w:rsidR="00DE243E">
        <w:t xml:space="preserve"> (IL-1 ve IL-6)</w:t>
      </w:r>
      <w:r>
        <w:t xml:space="preserve"> beynin endotel hücrelerinde </w:t>
      </w:r>
      <w:r w:rsidR="00704738">
        <w:t>PGE</w:t>
      </w:r>
      <w:r w:rsidR="00704738" w:rsidRPr="004918EE">
        <w:rPr>
          <w:vertAlign w:val="subscript"/>
        </w:rPr>
        <w:t>2</w:t>
      </w:r>
      <w:r w:rsidR="00704738">
        <w:rPr>
          <w:vertAlign w:val="subscript"/>
        </w:rPr>
        <w:t xml:space="preserve"> </w:t>
      </w:r>
      <w:r>
        <w:t>sen</w:t>
      </w:r>
      <w:r w:rsidR="00704738">
        <w:t xml:space="preserve">tezini uyardığı ve </w:t>
      </w:r>
      <w:proofErr w:type="gramStart"/>
      <w:r w:rsidR="00704738">
        <w:t>lokal</w:t>
      </w:r>
      <w:proofErr w:type="gramEnd"/>
      <w:r w:rsidR="00704738">
        <w:t xml:space="preserve"> olarak üretilen PGE</w:t>
      </w:r>
      <w:r w:rsidR="00704738" w:rsidRPr="004918EE">
        <w:rPr>
          <w:vertAlign w:val="subscript"/>
        </w:rPr>
        <w:t>2</w:t>
      </w:r>
      <w:r w:rsidR="00704738">
        <w:t>’nin de</w:t>
      </w:r>
      <w:r w:rsidR="00DE243E">
        <w:t xml:space="preserve"> median preoptik nük</w:t>
      </w:r>
      <w:r w:rsidR="00DE243E" w:rsidRPr="00DE243E">
        <w:t>leus</w:t>
      </w:r>
      <w:r w:rsidR="00DE243E">
        <w:t>taki</w:t>
      </w:r>
      <w:r w:rsidR="00DE243E" w:rsidRPr="00DE243E">
        <w:t xml:space="preserve"> (MnPO)</w:t>
      </w:r>
      <w:r w:rsidR="00DE243E">
        <w:t xml:space="preserve"> nöronları EP3 reseptörlerine bağlanarak </w:t>
      </w:r>
      <w:r w:rsidR="00704738">
        <w:t xml:space="preserve">etkilediği </w:t>
      </w:r>
      <w:r w:rsidR="00DE16CC">
        <w:t>kabul edilmektedir</w:t>
      </w:r>
      <w:r w:rsidR="00704738">
        <w:t xml:space="preserve">. </w:t>
      </w:r>
    </w:p>
    <w:p w:rsidR="00DE243E" w:rsidRDefault="00DE243E" w:rsidP="00DE243E">
      <w:pPr>
        <w:jc w:val="center"/>
      </w:pPr>
      <w:r>
        <w:rPr>
          <w:noProof/>
          <w:lang w:eastAsia="tr-TR"/>
        </w:rPr>
        <w:lastRenderedPageBreak/>
        <w:drawing>
          <wp:inline distT="0" distB="0" distL="0" distR="0" wp14:anchorId="23818454" wp14:editId="3ABE5512">
            <wp:extent cx="2609850" cy="2491987"/>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665" cy="2503268"/>
                    </a:xfrm>
                    <a:prstGeom prst="rect">
                      <a:avLst/>
                    </a:prstGeom>
                    <a:noFill/>
                    <a:ln>
                      <a:noFill/>
                    </a:ln>
                  </pic:spPr>
                </pic:pic>
              </a:graphicData>
            </a:graphic>
          </wp:inline>
        </w:drawing>
      </w:r>
    </w:p>
    <w:p w:rsidR="004918EE" w:rsidRPr="004918EE" w:rsidRDefault="004918EE" w:rsidP="00DF3A56">
      <w:pPr>
        <w:jc w:val="both"/>
        <w:rPr>
          <w:b/>
          <w:bCs/>
          <w:sz w:val="24"/>
          <w:szCs w:val="24"/>
        </w:rPr>
      </w:pPr>
      <w:proofErr w:type="gramStart"/>
      <w:r w:rsidRPr="004918EE">
        <w:rPr>
          <w:b/>
          <w:bCs/>
          <w:sz w:val="24"/>
          <w:szCs w:val="24"/>
        </w:rPr>
        <w:t>b</w:t>
      </w:r>
      <w:proofErr w:type="gramEnd"/>
      <w:r w:rsidRPr="004918EE">
        <w:rPr>
          <w:b/>
          <w:bCs/>
          <w:sz w:val="24"/>
          <w:szCs w:val="24"/>
        </w:rPr>
        <w:t>. Aydınlatılmış Mekanizmalar</w:t>
      </w:r>
    </w:p>
    <w:p w:rsidR="000E73FE" w:rsidRDefault="00DE37E9" w:rsidP="00840D61">
      <w:pPr>
        <w:jc w:val="both"/>
      </w:pPr>
      <w:r w:rsidRPr="00DE37E9">
        <w:t>Proinflamatu</w:t>
      </w:r>
      <w:r>
        <w:t>var sitokinler</w:t>
      </w:r>
      <w:r w:rsidR="003604D3">
        <w:t xml:space="preserve"> (IL-1 ve IL-6)</w:t>
      </w:r>
      <w:r w:rsidR="003604D3">
        <w:rPr>
          <w:rStyle w:val="DipnotBavurusu"/>
        </w:rPr>
        <w:footnoteReference w:id="4"/>
      </w:r>
      <w:r>
        <w:t>, bey</w:t>
      </w:r>
      <w:r w:rsidRPr="00DE37E9">
        <w:t>n</w:t>
      </w:r>
      <w:r>
        <w:t>in</w:t>
      </w:r>
      <w:r w:rsidRPr="00DE37E9">
        <w:t xml:space="preserve"> endotel</w:t>
      </w:r>
      <w:r>
        <w:t>yal</w:t>
      </w:r>
      <w:r w:rsidRPr="00DE37E9">
        <w:t xml:space="preserve"> hücrelerindeki reseptörler</w:t>
      </w:r>
      <w:r>
        <w:t>in</w:t>
      </w:r>
      <w:r w:rsidRPr="00DE37E9">
        <w:t>e bağlanarak, bu hücrelerde prostaglandin E</w:t>
      </w:r>
      <w:r w:rsidRPr="00DE37E9">
        <w:rPr>
          <w:vertAlign w:val="subscript"/>
        </w:rPr>
        <w:t>2</w:t>
      </w:r>
      <w:r>
        <w:t xml:space="preserve"> (</w:t>
      </w:r>
      <w:r w:rsidRPr="00DE37E9">
        <w:t>PGE</w:t>
      </w:r>
      <w:r w:rsidRPr="00DE37E9">
        <w:rPr>
          <w:vertAlign w:val="subscript"/>
        </w:rPr>
        <w:t>2</w:t>
      </w:r>
      <w:r>
        <w:t>)</w:t>
      </w:r>
      <w:r w:rsidRPr="00DE37E9">
        <w:t xml:space="preserve"> sentezini tetikle</w:t>
      </w:r>
      <w:r w:rsidR="00DF3A56">
        <w:t xml:space="preserve">r. </w:t>
      </w:r>
      <w:r w:rsidRPr="00DE37E9">
        <w:t>PGE</w:t>
      </w:r>
      <w:r w:rsidRPr="00DE37E9">
        <w:rPr>
          <w:vertAlign w:val="subscript"/>
        </w:rPr>
        <w:t>2</w:t>
      </w:r>
      <w:r>
        <w:t xml:space="preserve">, ateşin son mediyatörüdür. </w:t>
      </w:r>
      <w:r w:rsidR="00C6761C">
        <w:t xml:space="preserve">Üretilen </w:t>
      </w:r>
      <w:r w:rsidRPr="00DE37E9">
        <w:t>PGE</w:t>
      </w:r>
      <w:r w:rsidRPr="00DE37E9">
        <w:rPr>
          <w:vertAlign w:val="subscript"/>
        </w:rPr>
        <w:t>2</w:t>
      </w:r>
      <w:r>
        <w:t xml:space="preserve">, </w:t>
      </w:r>
      <w:r w:rsidR="00C6761C">
        <w:t xml:space="preserve">hipotalamusun median </w:t>
      </w:r>
      <w:r>
        <w:t>preoptik</w:t>
      </w:r>
      <w:r w:rsidR="00C6761C">
        <w:t xml:space="preserve"> (MnPO)</w:t>
      </w:r>
      <w:r>
        <w:t xml:space="preserve"> </w:t>
      </w:r>
      <w:r w:rsidR="00C6761C">
        <w:t xml:space="preserve">nükleusundaki nöronların </w:t>
      </w:r>
      <w:r>
        <w:t>EP</w:t>
      </w:r>
      <w:r w:rsidRPr="00DE37E9">
        <w:rPr>
          <w:vertAlign w:val="subscript"/>
        </w:rPr>
        <w:t>3</w:t>
      </w:r>
      <w:r w:rsidR="00C6761C">
        <w:t xml:space="preserve"> reseptörlerine bağlanır. MnPO, </w:t>
      </w:r>
      <w:r w:rsidR="000E73FE">
        <w:t xml:space="preserve">normalde, </w:t>
      </w:r>
      <w:r w:rsidR="00C6761C">
        <w:t xml:space="preserve">beyin sapındaki </w:t>
      </w:r>
      <w:r w:rsidR="000E73FE">
        <w:t>rostral medüller rafe (</w:t>
      </w:r>
      <w:r w:rsidR="00C6761C">
        <w:t>R</w:t>
      </w:r>
      <w:r w:rsidR="000E73FE">
        <w:t>MR</w:t>
      </w:r>
      <w:r w:rsidR="00C6761C">
        <w:t xml:space="preserve">) nükleusundaki termojenik nöronları </w:t>
      </w:r>
      <w:r w:rsidR="000E73FE">
        <w:t>doğrudan i</w:t>
      </w:r>
      <w:r w:rsidR="00C6761C">
        <w:t>nhibe eder.</w:t>
      </w:r>
      <w:r w:rsidR="000E73FE">
        <w:t xml:space="preserve"> MnPO nöronlarına PGE</w:t>
      </w:r>
      <w:r w:rsidR="000E73FE" w:rsidRPr="000E73FE">
        <w:rPr>
          <w:vertAlign w:val="subscript"/>
        </w:rPr>
        <w:t>2</w:t>
      </w:r>
      <w:r w:rsidR="000E73FE">
        <w:t xml:space="preserve"> bağlanması, MnPO nöronlarını susturarak, RMR üzerindeki inhibisyonu ortadan kaldırır. MnPO’daki nöronlar aynı zamanda dorsomediyal hipotalamustaki (DMH) nöronlar üzerinde de inhibe edici etki gösterir ve böylece dolaylı olarak da RMR’yi inhibe eder. Çünkü DMH, RMR üzerinde uyarıcı etkiye sahiptir.</w:t>
      </w:r>
      <w:r w:rsidR="00867F01">
        <w:t xml:space="preserve"> </w:t>
      </w:r>
      <w:proofErr w:type="gramStart"/>
      <w:r w:rsidR="00867F01">
        <w:t>Yapılan çalışmalar, MnPO’nun RMR üzerindeki doğrudan inhibe edici etkisinin IML (</w:t>
      </w:r>
      <w:r w:rsidR="00867F01" w:rsidRPr="00867F01">
        <w:rPr>
          <w:i/>
          <w:iCs/>
        </w:rPr>
        <w:t>intermediolateral cell column</w:t>
      </w:r>
      <w:r w:rsidR="00867F01">
        <w:t>)</w:t>
      </w:r>
      <w:r w:rsidR="00867F01">
        <w:rPr>
          <w:rStyle w:val="DipnotBavurusu"/>
        </w:rPr>
        <w:footnoteReference w:id="5"/>
      </w:r>
      <w:r w:rsidR="00867F01">
        <w:t xml:space="preserve"> yoluyla sempatik vazokonstrüksiyonu engellediğini</w:t>
      </w:r>
      <w:r w:rsidR="00867F01">
        <w:rPr>
          <w:rStyle w:val="DipnotBavurusu"/>
        </w:rPr>
        <w:footnoteReference w:id="6"/>
      </w:r>
      <w:r w:rsidR="00867F01">
        <w:t xml:space="preserve">; </w:t>
      </w:r>
      <w:r w:rsidR="0052407C">
        <w:t>RMR üzerinde DMH yoluyla dolaylı olarak gerçekleştirdiği inhibe edici etkisinin</w:t>
      </w:r>
      <w:r w:rsidR="00867F01">
        <w:t xml:space="preserve"> </w:t>
      </w:r>
      <w:r w:rsidR="0052407C">
        <w:t>ise hem IML yoluyla sempatik kahverengi yağ dokusu</w:t>
      </w:r>
      <w:r w:rsidR="00840D61">
        <w:t xml:space="preserve"> (</w:t>
      </w:r>
      <w:r w:rsidR="00840D61" w:rsidRPr="00840D61">
        <w:rPr>
          <w:i/>
          <w:iCs/>
        </w:rPr>
        <w:t>brown adipose tissue</w:t>
      </w:r>
      <w:r w:rsidR="00840D61">
        <w:t xml:space="preserve">, </w:t>
      </w:r>
      <w:r w:rsidR="00840D61" w:rsidRPr="00840D61">
        <w:t>BAT</w:t>
      </w:r>
      <w:r w:rsidR="00840D61">
        <w:t>)</w:t>
      </w:r>
      <w:r w:rsidR="0052407C">
        <w:t xml:space="preserve"> termogenezini</w:t>
      </w:r>
      <w:r w:rsidR="0052407C">
        <w:rPr>
          <w:rStyle w:val="DipnotBavurusu"/>
        </w:rPr>
        <w:footnoteReference w:id="7"/>
      </w:r>
      <w:r w:rsidR="0052407C">
        <w:t xml:space="preserve"> hem de VH (</w:t>
      </w:r>
      <w:r w:rsidR="0052407C" w:rsidRPr="0052407C">
        <w:rPr>
          <w:i/>
          <w:iCs/>
        </w:rPr>
        <w:t>ventral horn</w:t>
      </w:r>
      <w:r w:rsidR="0052407C">
        <w:t>)</w:t>
      </w:r>
      <w:r w:rsidR="0052407C">
        <w:rPr>
          <w:rStyle w:val="DipnotBavurusu"/>
        </w:rPr>
        <w:footnoteReference w:id="8"/>
      </w:r>
      <w:r w:rsidR="0052407C">
        <w:t xml:space="preserve"> yoluyla titremeyi</w:t>
      </w:r>
      <w:r w:rsidR="0052407C">
        <w:rPr>
          <w:rStyle w:val="DipnotBavurusu"/>
        </w:rPr>
        <w:footnoteReference w:id="9"/>
      </w:r>
      <w:r w:rsidR="0052407C">
        <w:t xml:space="preserve"> baskıladığını </w:t>
      </w:r>
      <w:r w:rsidR="00867F01">
        <w:t>ortaya koymuştur.</w:t>
      </w:r>
      <w:r w:rsidR="00840D61">
        <w:t xml:space="preserve"> </w:t>
      </w:r>
      <w:proofErr w:type="gramEnd"/>
      <w:r w:rsidR="00840D61">
        <w:t>PGE</w:t>
      </w:r>
      <w:r w:rsidR="00840D61" w:rsidRPr="00840D61">
        <w:rPr>
          <w:vertAlign w:val="subscript"/>
        </w:rPr>
        <w:t>2</w:t>
      </w:r>
      <w:r w:rsidR="00840D61">
        <w:t>’nin MnPO nöronlarındaki EP3 reseptörlerine bağlanması, MnPO nöronlarının DMH ve RMR’deki inhibisyonunu ortadan kaldırır (disinhibisyon) ve böylece titreme ve kahverengi yağ dokusunun uyarılması ile enerji üretiminin artırılması ve periferik vazokonstrüksiyon ile ısı kaybının azaltılması yoluyla ateş meydana getirilir.</w:t>
      </w:r>
      <w:r w:rsidR="000E73FE">
        <w:t xml:space="preserve"> </w:t>
      </w:r>
    </w:p>
    <w:p w:rsidR="006409F9" w:rsidRDefault="000E73FE" w:rsidP="00F017B6">
      <w:pPr>
        <w:jc w:val="both"/>
      </w:pPr>
      <w:r>
        <w:t>MnPO’da sıcaklığa duyarlı (</w:t>
      </w:r>
      <w:r w:rsidRPr="000E73FE">
        <w:rPr>
          <w:i/>
          <w:iCs/>
        </w:rPr>
        <w:t>warm-sensitive</w:t>
      </w:r>
      <w:r>
        <w:t>, WS) nöronlar vardır.</w:t>
      </w:r>
      <w:r w:rsidR="00A7223F">
        <w:t xml:space="preserve"> Bunlar sıcakta aktive olup termogenezi inhibe ederken, soğukta inhibe olup termogenezi aktifleştirir.</w:t>
      </w:r>
      <w:r w:rsidR="00DE37E9">
        <w:t xml:space="preserve"> </w:t>
      </w:r>
    </w:p>
    <w:p w:rsidR="00C6761C" w:rsidRDefault="00C6761C" w:rsidP="00704738">
      <w:pPr>
        <w:jc w:val="both"/>
      </w:pPr>
      <w:r>
        <w:rPr>
          <w:noProof/>
          <w:lang w:eastAsia="tr-TR"/>
        </w:rPr>
        <w:lastRenderedPageBreak/>
        <w:drawing>
          <wp:inline distT="0" distB="0" distL="0" distR="0">
            <wp:extent cx="5876925" cy="4964623"/>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964623"/>
                    </a:xfrm>
                    <a:prstGeom prst="rect">
                      <a:avLst/>
                    </a:prstGeom>
                    <a:noFill/>
                    <a:ln>
                      <a:noFill/>
                    </a:ln>
                  </pic:spPr>
                </pic:pic>
              </a:graphicData>
            </a:graphic>
          </wp:inline>
        </w:drawing>
      </w:r>
    </w:p>
    <w:p w:rsidR="00F017B6" w:rsidRPr="00F7047A" w:rsidRDefault="00F017B6" w:rsidP="00F017B6">
      <w:pPr>
        <w:jc w:val="both"/>
        <w:rPr>
          <w:b/>
          <w:bCs/>
          <w:sz w:val="24"/>
          <w:szCs w:val="24"/>
        </w:rPr>
      </w:pPr>
      <w:proofErr w:type="gramStart"/>
      <w:r>
        <w:rPr>
          <w:b/>
          <w:bCs/>
          <w:sz w:val="24"/>
          <w:szCs w:val="24"/>
        </w:rPr>
        <w:t>c</w:t>
      </w:r>
      <w:proofErr w:type="gramEnd"/>
      <w:r>
        <w:rPr>
          <w:b/>
          <w:bCs/>
          <w:sz w:val="24"/>
          <w:szCs w:val="24"/>
        </w:rPr>
        <w:t xml:space="preserve">. </w:t>
      </w:r>
      <w:r w:rsidRPr="00F7047A">
        <w:rPr>
          <w:b/>
          <w:bCs/>
          <w:sz w:val="24"/>
          <w:szCs w:val="24"/>
        </w:rPr>
        <w:t>Diğer Muhtemel İlave Mekanizmalar</w:t>
      </w:r>
    </w:p>
    <w:p w:rsidR="00F017B6" w:rsidRDefault="00F017B6" w:rsidP="00F017B6">
      <w:pPr>
        <w:rPr>
          <w:b/>
          <w:bCs/>
          <w:sz w:val="28"/>
          <w:szCs w:val="28"/>
        </w:rPr>
      </w:pPr>
      <w:r>
        <w:t>S</w:t>
      </w:r>
      <w:r w:rsidRPr="00DE243E">
        <w:t>itokin reseptörlerinin veya PGE</w:t>
      </w:r>
      <w:r w:rsidRPr="00DE243E">
        <w:rPr>
          <w:vertAlign w:val="subscript"/>
        </w:rPr>
        <w:t>2</w:t>
      </w:r>
      <w:r w:rsidRPr="00DE243E">
        <w:t xml:space="preserve"> sentezine yönelik enzimlerin beyin endotel hücrelerinde seçici olarak silindiği </w:t>
      </w:r>
      <w:r>
        <w:t xml:space="preserve">bilimsel </w:t>
      </w:r>
      <w:r w:rsidRPr="00DE243E">
        <w:t>çalışmalardan elde edil</w:t>
      </w:r>
      <w:r>
        <w:t xml:space="preserve">en bulgular, bu tür silme işlemlerinin </w:t>
      </w:r>
      <w:r w:rsidRPr="00DE243E">
        <w:t xml:space="preserve">periferik olarak enjekte edilen </w:t>
      </w:r>
      <w:r>
        <w:t>pirojenlere</w:t>
      </w:r>
      <w:r w:rsidRPr="00DE243E">
        <w:t xml:space="preserve"> verilen ateş tepkisini zayıflattığını</w:t>
      </w:r>
      <w:r>
        <w:t xml:space="preserve"> ancak</w:t>
      </w:r>
      <w:r w:rsidRPr="00DE243E">
        <w:t xml:space="preserve"> tamame</w:t>
      </w:r>
      <w:r>
        <w:t>n ortadan kaldıramadığını göstermektedir</w:t>
      </w:r>
      <w:r w:rsidRPr="00DE243E">
        <w:t xml:space="preserve">. Dolayısıyla rezidüel ateşten sorumlu olan ek </w:t>
      </w:r>
      <w:r>
        <w:t>mekanizmaların mevcut olduğu anlaşılmaktadır</w:t>
      </w:r>
      <w:r w:rsidRPr="00DE243E">
        <w:t xml:space="preserve">. </w:t>
      </w:r>
      <w:r>
        <w:t xml:space="preserve">Periferik olarak üretilmiş </w:t>
      </w:r>
      <w:r w:rsidRPr="00DE37E9">
        <w:t>PGE</w:t>
      </w:r>
      <w:r w:rsidRPr="00DE37E9">
        <w:rPr>
          <w:vertAlign w:val="subscript"/>
        </w:rPr>
        <w:t>2</w:t>
      </w:r>
      <w:r w:rsidRPr="00DE37E9">
        <w:t>’</w:t>
      </w:r>
      <w:r>
        <w:t>nin beyne transferinin, periferik sinirlerden gelen uyarıların ve sirkumventriküler organların</w:t>
      </w:r>
      <w:r>
        <w:rPr>
          <w:rStyle w:val="DipnotBavurusu"/>
        </w:rPr>
        <w:footnoteReference w:id="10"/>
      </w:r>
      <w:r>
        <w:t xml:space="preserve"> ateş oluşum sürecine katkısı tartışılmaya devam etmektedir.</w:t>
      </w:r>
    </w:p>
    <w:p w:rsidR="0069714E" w:rsidRDefault="00F017B6">
      <w:pPr>
        <w:rPr>
          <w:b/>
          <w:bCs/>
          <w:sz w:val="28"/>
          <w:szCs w:val="28"/>
        </w:rPr>
      </w:pPr>
      <w:r>
        <w:rPr>
          <w:b/>
          <w:bCs/>
          <w:sz w:val="28"/>
          <w:szCs w:val="28"/>
        </w:rPr>
        <w:t>3</w:t>
      </w:r>
      <w:r w:rsidR="0069714E" w:rsidRPr="0046630A">
        <w:rPr>
          <w:b/>
          <w:bCs/>
          <w:sz w:val="28"/>
          <w:szCs w:val="28"/>
        </w:rPr>
        <w:t>. Ateş Ölçümü</w:t>
      </w:r>
    </w:p>
    <w:p w:rsidR="007C74E1" w:rsidRDefault="001107AA" w:rsidP="00010250">
      <w:pPr>
        <w:jc w:val="both"/>
      </w:pPr>
      <w:r>
        <w:t>Ateş kontrolü, el ayasıyla değil, s</w:t>
      </w:r>
      <w:r w:rsidR="00A9436B">
        <w:t>ıcaklığa daha duyarlı olduğu için elin sırtıyla yapılmalıdır.</w:t>
      </w:r>
      <w:r w:rsidR="00486CEA">
        <w:t xml:space="preserve"> Hastanın alnına ve boynuna dokunarak ateş kontrolü yapılabilir; ancak hastanın elleri ve ayakları ateş </w:t>
      </w:r>
      <w:r w:rsidR="003C30EE">
        <w:t xml:space="preserve">kontrolü için kullanılmamalıdır, çünkü bu bölgeler hasta ateşli olduğu halde </w:t>
      </w:r>
      <w:r w:rsidR="003C30EE">
        <w:lastRenderedPageBreak/>
        <w:t xml:space="preserve">soğuk olabilir. </w:t>
      </w:r>
      <w:r w:rsidR="007D13F7">
        <w:t xml:space="preserve">Ateş ölçümünde, farklı yöntemlerle çalışan ve farklı vücut bölgelerinden ölçüm yapan çeşitli cihazlar vardır. </w:t>
      </w:r>
      <w:r w:rsidR="00395111">
        <w:t>Ülkemizde cıva içeren cam termometrelerin kullanımı</w:t>
      </w:r>
      <w:r w:rsidR="00DA5190">
        <w:t>, camın kırılganlığı ve cıvanın toksisitesi nedeniyle</w:t>
      </w:r>
      <w:r w:rsidR="00395111">
        <w:t xml:space="preserve"> 2009 yılından itibaren yasaklanmıştır. </w:t>
      </w:r>
      <w:r w:rsidR="00010250">
        <w:t xml:space="preserve">Alından, koltuk altından (aksiller), ağızdan (oral), </w:t>
      </w:r>
      <w:r w:rsidR="007D13F7">
        <w:t>kulak yolundan (timpanik) ve makattan (rektal) ateş ölçümü yapılabilmektedir.</w:t>
      </w:r>
      <w:r w:rsidR="007A2106">
        <w:t xml:space="preserve"> </w:t>
      </w:r>
      <w:r w:rsidR="00FB1494" w:rsidRPr="00FB1494">
        <w:t xml:space="preserve">Alın </w:t>
      </w:r>
      <w:r w:rsidR="00FB1494">
        <w:t xml:space="preserve">ve kulak </w:t>
      </w:r>
      <w:r w:rsidR="00FB1494" w:rsidRPr="00FB1494">
        <w:t>termometreleri vücudun ürettiği kızılötesi radyasyonu yakalamak için kızılötesi sensörler kullanır.</w:t>
      </w:r>
      <w:r w:rsidR="00FB1494">
        <w:t xml:space="preserve"> </w:t>
      </w:r>
      <w:r w:rsidR="009137DF" w:rsidRPr="009137DF">
        <w:t>E</w:t>
      </w:r>
      <w:r w:rsidR="009137DF">
        <w:t>lektronik dijital termometreler</w:t>
      </w:r>
      <w:r w:rsidR="00010250">
        <w:t xml:space="preserve"> </w:t>
      </w:r>
      <w:r w:rsidR="00010250" w:rsidRPr="009137DF">
        <w:t>koltuk altı</w:t>
      </w:r>
      <w:r w:rsidR="00010250">
        <w:t>,</w:t>
      </w:r>
      <w:r w:rsidR="00010250" w:rsidRPr="009137DF">
        <w:t xml:space="preserve"> </w:t>
      </w:r>
      <w:r w:rsidR="00010250">
        <w:t>ağız</w:t>
      </w:r>
      <w:r w:rsidR="009137DF" w:rsidRPr="009137DF">
        <w:t xml:space="preserve"> ve</w:t>
      </w:r>
      <w:r w:rsidR="009137DF">
        <w:t xml:space="preserve"> makattan</w:t>
      </w:r>
      <w:r w:rsidR="009137DF" w:rsidRPr="009137DF">
        <w:t xml:space="preserve"> </w:t>
      </w:r>
      <w:r w:rsidR="009137DF">
        <w:t>sıcaklık</w:t>
      </w:r>
      <w:r w:rsidR="009137DF" w:rsidRPr="009137DF">
        <w:t xml:space="preserve"> ölç</w:t>
      </w:r>
      <w:r w:rsidR="004267D8">
        <w:t>ümü yapar; bu cihazlar sıcaklıktaki değişikliği algılayan</w:t>
      </w:r>
      <w:r w:rsidR="004267D8" w:rsidRPr="004267D8">
        <w:t xml:space="preserve"> sensör</w:t>
      </w:r>
      <w:r w:rsidR="004267D8">
        <w:t>ler (termistör) içerir</w:t>
      </w:r>
      <w:r w:rsidR="004267D8" w:rsidRPr="004267D8">
        <w:t>.</w:t>
      </w:r>
      <w:r w:rsidR="00CF2143">
        <w:t xml:space="preserve"> Ateş ölçümü yapılırken cihaz üreticisinin tavsiyelerine uyulmalıdır.</w:t>
      </w:r>
    </w:p>
    <w:p w:rsidR="007A2106" w:rsidRDefault="007A2106" w:rsidP="007D13F7">
      <w:pPr>
        <w:jc w:val="both"/>
      </w:pPr>
      <w:r>
        <w:rPr>
          <w:noProof/>
          <w:lang w:eastAsia="tr-TR"/>
        </w:rPr>
        <w:drawing>
          <wp:inline distT="0" distB="0" distL="0" distR="0">
            <wp:extent cx="5267325" cy="36385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rsidR="008A3616" w:rsidRPr="00934863" w:rsidRDefault="008A3616" w:rsidP="007D13F7">
      <w:pPr>
        <w:jc w:val="both"/>
        <w:rPr>
          <w:b/>
          <w:bCs/>
          <w:sz w:val="24"/>
          <w:szCs w:val="24"/>
        </w:rPr>
      </w:pPr>
      <w:proofErr w:type="gramStart"/>
      <w:r w:rsidRPr="00934863">
        <w:rPr>
          <w:b/>
          <w:bCs/>
          <w:sz w:val="24"/>
          <w:szCs w:val="24"/>
        </w:rPr>
        <w:t>a</w:t>
      </w:r>
      <w:proofErr w:type="gramEnd"/>
      <w:r w:rsidRPr="00934863">
        <w:rPr>
          <w:b/>
          <w:bCs/>
          <w:sz w:val="24"/>
          <w:szCs w:val="24"/>
        </w:rPr>
        <w:t>. Alından Ateş Ölçerken Dikkat Edilecek Hususlar</w:t>
      </w:r>
    </w:p>
    <w:p w:rsidR="009E48AB" w:rsidRDefault="009E48AB" w:rsidP="00934863">
      <w:pPr>
        <w:pStyle w:val="ListeParagraf"/>
        <w:numPr>
          <w:ilvl w:val="0"/>
          <w:numId w:val="3"/>
        </w:numPr>
        <w:jc w:val="both"/>
      </w:pPr>
      <w:r>
        <w:t>Ölçülece</w:t>
      </w:r>
      <w:r w:rsidR="009F61A4">
        <w:t>k bölge terli/nemli ve kirli</w:t>
      </w:r>
      <w:r w:rsidR="00E72CEE">
        <w:rPr>
          <w:rStyle w:val="DipnotBavurusu"/>
        </w:rPr>
        <w:footnoteReference w:id="11"/>
      </w:r>
      <w:r w:rsidR="009F61A4">
        <w:t xml:space="preserve"> olmamalıdır, üzerinde saç (</w:t>
      </w:r>
      <w:proofErr w:type="gramStart"/>
      <w:r w:rsidR="009F61A4">
        <w:t>kakül</w:t>
      </w:r>
      <w:proofErr w:type="gramEnd"/>
      <w:r w:rsidR="009F61A4">
        <w:t>) bulunmamalıdır.</w:t>
      </w:r>
    </w:p>
    <w:p w:rsidR="009F61A4" w:rsidRDefault="009F61A4" w:rsidP="00934863">
      <w:pPr>
        <w:pStyle w:val="ListeParagraf"/>
        <w:numPr>
          <w:ilvl w:val="0"/>
          <w:numId w:val="3"/>
        </w:numPr>
        <w:jc w:val="both"/>
      </w:pPr>
      <w:r>
        <w:t>Cihazın ölçüm bölgesi temiz ve kuru tutulmalıdır, bu bölgeye dokunulmamalıdır.</w:t>
      </w:r>
    </w:p>
    <w:p w:rsidR="00201980" w:rsidRDefault="00201980" w:rsidP="00201980">
      <w:pPr>
        <w:pStyle w:val="ListeParagraf"/>
        <w:numPr>
          <w:ilvl w:val="0"/>
          <w:numId w:val="3"/>
        </w:numPr>
        <w:jc w:val="both"/>
      </w:pPr>
      <w:r>
        <w:t>Ölçümden önce şapka/bere takılmışsa</w:t>
      </w:r>
      <w:r w:rsidR="00010250">
        <w:t>,</w:t>
      </w:r>
      <w:r>
        <w:t xml:space="preserve"> ölçüm sonucu yanıltıcı olabilir.</w:t>
      </w:r>
    </w:p>
    <w:p w:rsidR="008A3616" w:rsidRDefault="002F567B" w:rsidP="00444078">
      <w:pPr>
        <w:pStyle w:val="ListeParagraf"/>
        <w:numPr>
          <w:ilvl w:val="0"/>
          <w:numId w:val="3"/>
        </w:numPr>
        <w:jc w:val="both"/>
      </w:pPr>
      <w:r>
        <w:t xml:space="preserve">Deri ile termometre arasında </w:t>
      </w:r>
      <w:r w:rsidR="00444078">
        <w:t xml:space="preserve">cihaz üreticisinin tavsiye ettiği </w:t>
      </w:r>
      <w:r w:rsidR="009E48AB">
        <w:t xml:space="preserve">bir </w:t>
      </w:r>
      <w:r>
        <w:t>ölçüm mesafesi b</w:t>
      </w:r>
      <w:r w:rsidR="009E48AB">
        <w:t>ulunmalıdır</w:t>
      </w:r>
      <w:r w:rsidR="000C139E">
        <w:t xml:space="preserve"> ve ölçüm bölgesi belirlenirken cihaz üreticisinin tavsiyelerine uyulmalıdır.</w:t>
      </w:r>
      <w:r w:rsidR="009F61A4">
        <w:t xml:space="preserve"> Cihaz alna dik tutulmalıdır.</w:t>
      </w:r>
    </w:p>
    <w:p w:rsidR="009E48AB" w:rsidRDefault="009E48AB" w:rsidP="009E48AB">
      <w:pPr>
        <w:pStyle w:val="ListeParagraf"/>
        <w:numPr>
          <w:ilvl w:val="0"/>
          <w:numId w:val="3"/>
        </w:numPr>
        <w:jc w:val="both"/>
      </w:pPr>
      <w:r>
        <w:t xml:space="preserve">Sıcaklığın </w:t>
      </w:r>
      <w:proofErr w:type="gramStart"/>
      <w:r>
        <w:t>37.5</w:t>
      </w:r>
      <w:proofErr w:type="gramEnd"/>
      <w:r>
        <w:t xml:space="preserve"> </w:t>
      </w:r>
      <w:r w:rsidRPr="00D37705">
        <w:rPr>
          <w:rFonts w:cstheme="minorHAnsi"/>
          <w:b/>
          <w:bCs/>
          <w:sz w:val="24"/>
          <w:szCs w:val="24"/>
          <w:vertAlign w:val="superscript"/>
        </w:rPr>
        <w:t>◦</w:t>
      </w:r>
      <w:r>
        <w:t>C’tan daha yüksek olması ateş olarak kabul edilir.</w:t>
      </w:r>
    </w:p>
    <w:p w:rsidR="00E17B0C" w:rsidRDefault="00010250" w:rsidP="006F7814">
      <w:pPr>
        <w:pStyle w:val="ListeParagraf"/>
        <w:numPr>
          <w:ilvl w:val="0"/>
          <w:numId w:val="3"/>
        </w:numPr>
        <w:jc w:val="both"/>
      </w:pPr>
      <w:r>
        <w:t>Alından ölçüm, v</w:t>
      </w:r>
      <w:r w:rsidR="00E17B0C">
        <w:t>ücut sıcaklığını ölçmek için en kolay yöntemdir.</w:t>
      </w:r>
      <w:r w:rsidR="006F7814">
        <w:t xml:space="preserve"> </w:t>
      </w:r>
      <w:r w:rsidR="009F61A4">
        <w:t xml:space="preserve">Ayrıca ölçüm sırasında hasta ile temas edilmez. </w:t>
      </w:r>
      <w:r w:rsidR="006F7814">
        <w:t xml:space="preserve">Bu nedenle </w:t>
      </w:r>
      <w:r w:rsidR="006F7814" w:rsidRPr="006F7814">
        <w:t xml:space="preserve">büyük insan gruplarında ateşi hızlı bir şekilde taramak için </w:t>
      </w:r>
      <w:r w:rsidR="006F7814">
        <w:t>kullanılmaktadır.</w:t>
      </w:r>
    </w:p>
    <w:p w:rsidR="00201980" w:rsidRDefault="00201980" w:rsidP="00E17B0C">
      <w:pPr>
        <w:pStyle w:val="ListeParagraf"/>
        <w:numPr>
          <w:ilvl w:val="0"/>
          <w:numId w:val="3"/>
        </w:numPr>
        <w:jc w:val="both"/>
      </w:pPr>
      <w:r>
        <w:lastRenderedPageBreak/>
        <w:t>Ölçümün yapıldığı ortamın sıcaklığı</w:t>
      </w:r>
      <w:r w:rsidR="00E17B0C">
        <w:t>, hava akımlarının mevcudiyeti, doğrudan güneş ışığına maruziyet</w:t>
      </w:r>
      <w:r w:rsidR="00E72CEE">
        <w:t>,</w:t>
      </w:r>
      <w:r w:rsidR="00E17B0C" w:rsidRPr="00E17B0C">
        <w:t xml:space="preserve"> </w:t>
      </w:r>
      <w:r w:rsidR="00E17B0C">
        <w:t>ortamda ısı yayan bir kaynağın</w:t>
      </w:r>
      <w:r w:rsidR="00E17B0C" w:rsidRPr="00E17B0C">
        <w:t xml:space="preserve"> </w:t>
      </w:r>
      <w:r w:rsidR="00E17B0C">
        <w:t>olması</w:t>
      </w:r>
      <w:r w:rsidR="00E72CEE">
        <w:t xml:space="preserve"> ve ortamın tozlu, dumanlı olması</w:t>
      </w:r>
      <w:r w:rsidR="00E17B0C">
        <w:t xml:space="preserve"> </w:t>
      </w:r>
      <w:r>
        <w:t>ölçüm sonuçlarını etkileyebilir.</w:t>
      </w:r>
    </w:p>
    <w:p w:rsidR="00F20ACF" w:rsidRDefault="00F20ACF" w:rsidP="00E72CEE">
      <w:pPr>
        <w:pStyle w:val="ListeParagraf"/>
        <w:numPr>
          <w:ilvl w:val="0"/>
          <w:numId w:val="3"/>
        </w:numPr>
        <w:jc w:val="both"/>
      </w:pPr>
      <w:r>
        <w:t>Alından ve koltuk altından yapılan sıcaklık ölçümleri diğer yönte</w:t>
      </w:r>
      <w:r w:rsidR="005922E7">
        <w:t>mlere göre daha az güvenilirdir</w:t>
      </w:r>
      <w:r w:rsidR="006F7814">
        <w:t>.</w:t>
      </w:r>
    </w:p>
    <w:p w:rsidR="00010250" w:rsidRPr="00B17B23" w:rsidRDefault="00010250" w:rsidP="00010250">
      <w:pPr>
        <w:jc w:val="both"/>
        <w:rPr>
          <w:b/>
          <w:bCs/>
          <w:sz w:val="24"/>
          <w:szCs w:val="24"/>
        </w:rPr>
      </w:pPr>
      <w:proofErr w:type="gramStart"/>
      <w:r>
        <w:rPr>
          <w:b/>
          <w:bCs/>
          <w:sz w:val="24"/>
          <w:szCs w:val="24"/>
        </w:rPr>
        <w:t>b</w:t>
      </w:r>
      <w:proofErr w:type="gramEnd"/>
      <w:r w:rsidRPr="00B17B23">
        <w:rPr>
          <w:b/>
          <w:bCs/>
          <w:sz w:val="24"/>
          <w:szCs w:val="24"/>
        </w:rPr>
        <w:t>. Koltuk Altından Ateş Ölçerken Dikkat Edilecek Hususlar</w:t>
      </w:r>
    </w:p>
    <w:p w:rsidR="00010250" w:rsidRDefault="00010250" w:rsidP="00010250">
      <w:pPr>
        <w:pStyle w:val="ListeParagraf"/>
        <w:numPr>
          <w:ilvl w:val="0"/>
          <w:numId w:val="2"/>
        </w:numPr>
        <w:jc w:val="both"/>
      </w:pPr>
      <w:r>
        <w:t>Koltuk altı bölgesi terli/nemli ise kurulanmalıdır.</w:t>
      </w:r>
    </w:p>
    <w:p w:rsidR="00010250" w:rsidRDefault="00010250" w:rsidP="00010250">
      <w:pPr>
        <w:pStyle w:val="ListeParagraf"/>
        <w:numPr>
          <w:ilvl w:val="0"/>
          <w:numId w:val="2"/>
        </w:numPr>
        <w:jc w:val="both"/>
      </w:pPr>
      <w:r>
        <w:t>Termometrenin ucu işlem öncesi ve sonrasında temizlenmelidir.</w:t>
      </w:r>
    </w:p>
    <w:p w:rsidR="00010250" w:rsidRDefault="00010250" w:rsidP="00010250">
      <w:pPr>
        <w:pStyle w:val="ListeParagraf"/>
        <w:numPr>
          <w:ilvl w:val="0"/>
          <w:numId w:val="2"/>
        </w:numPr>
        <w:jc w:val="both"/>
      </w:pPr>
      <w:r>
        <w:t>Termometrenin ucu koltuk altındaki ciltle temas edecek şekilde yerleştirildikten sonra, kol omuzdan addüksiyona</w:t>
      </w:r>
      <w:r>
        <w:rPr>
          <w:rStyle w:val="DipnotBavurusu"/>
        </w:rPr>
        <w:footnoteReference w:id="12"/>
      </w:r>
      <w:r>
        <w:t xml:space="preserve"> dirsekten fleksiyona getirilerek göğsün üzerinde tutulur.</w:t>
      </w:r>
    </w:p>
    <w:p w:rsidR="00010250" w:rsidRDefault="00010250" w:rsidP="00010250">
      <w:pPr>
        <w:pStyle w:val="ListeParagraf"/>
        <w:numPr>
          <w:ilvl w:val="0"/>
          <w:numId w:val="2"/>
        </w:numPr>
        <w:jc w:val="both"/>
      </w:pPr>
      <w:r>
        <w:t>Ölçüm tamamlandıktan sonra kol omuzdan abdüksiyona getirilerek termometre alınır.</w:t>
      </w:r>
    </w:p>
    <w:p w:rsidR="00010250" w:rsidRDefault="00010250" w:rsidP="00010250">
      <w:pPr>
        <w:pStyle w:val="ListeParagraf"/>
        <w:numPr>
          <w:ilvl w:val="0"/>
          <w:numId w:val="2"/>
        </w:numPr>
        <w:jc w:val="both"/>
      </w:pPr>
      <w:r>
        <w:t>Çok zayıf veya koltuk altında kızarıklık ya da yara olan hastalarda koltuk altından ateş ölçümü tavsiye edilmez.</w:t>
      </w:r>
    </w:p>
    <w:p w:rsidR="00010250" w:rsidRDefault="00010250" w:rsidP="00010250">
      <w:pPr>
        <w:pStyle w:val="ListeParagraf"/>
        <w:numPr>
          <w:ilvl w:val="0"/>
          <w:numId w:val="2"/>
        </w:numPr>
        <w:jc w:val="both"/>
      </w:pPr>
      <w:r>
        <w:t xml:space="preserve">Sıcaklığın </w:t>
      </w:r>
      <w:proofErr w:type="gramStart"/>
      <w:r>
        <w:t>37.5</w:t>
      </w:r>
      <w:proofErr w:type="gramEnd"/>
      <w:r>
        <w:t xml:space="preserve"> </w:t>
      </w:r>
      <w:r w:rsidRPr="00D37705">
        <w:rPr>
          <w:rFonts w:cstheme="minorHAnsi"/>
          <w:b/>
          <w:bCs/>
          <w:sz w:val="24"/>
          <w:szCs w:val="24"/>
          <w:vertAlign w:val="superscript"/>
        </w:rPr>
        <w:t>◦</w:t>
      </w:r>
      <w:r>
        <w:t>C’tan daha yüksek olması ateş olarak kabul edilir.</w:t>
      </w:r>
    </w:p>
    <w:p w:rsidR="00010250" w:rsidRDefault="00010250" w:rsidP="00010250">
      <w:pPr>
        <w:pStyle w:val="ListeParagraf"/>
        <w:numPr>
          <w:ilvl w:val="0"/>
          <w:numId w:val="2"/>
        </w:numPr>
        <w:jc w:val="both"/>
      </w:pPr>
      <w:r>
        <w:t>Koltuk altı ve alından yapılan sıcaklık ölçümleri diğer yöntemlere göre daha az güvenilirdir.</w:t>
      </w:r>
    </w:p>
    <w:p w:rsidR="00010250" w:rsidRDefault="00010250" w:rsidP="00010250">
      <w:pPr>
        <w:jc w:val="center"/>
        <w:rPr>
          <w:b/>
          <w:bCs/>
          <w:sz w:val="24"/>
          <w:szCs w:val="24"/>
        </w:rPr>
      </w:pPr>
      <w:r>
        <w:rPr>
          <w:noProof/>
          <w:lang w:eastAsia="tr-TR"/>
        </w:rPr>
        <w:drawing>
          <wp:inline distT="0" distB="0" distL="0" distR="0" wp14:anchorId="35E2D66B" wp14:editId="5A48959F">
            <wp:extent cx="3514725" cy="1973328"/>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1973328"/>
                    </a:xfrm>
                    <a:prstGeom prst="rect">
                      <a:avLst/>
                    </a:prstGeom>
                    <a:noFill/>
                    <a:ln>
                      <a:noFill/>
                    </a:ln>
                  </pic:spPr>
                </pic:pic>
              </a:graphicData>
            </a:graphic>
          </wp:inline>
        </w:drawing>
      </w:r>
    </w:p>
    <w:p w:rsidR="00010250" w:rsidRPr="008A3616" w:rsidRDefault="00010250" w:rsidP="00010250">
      <w:pPr>
        <w:jc w:val="both"/>
        <w:rPr>
          <w:b/>
          <w:bCs/>
          <w:sz w:val="24"/>
          <w:szCs w:val="24"/>
        </w:rPr>
      </w:pPr>
      <w:proofErr w:type="gramStart"/>
      <w:r w:rsidRPr="008A3616">
        <w:rPr>
          <w:b/>
          <w:bCs/>
          <w:sz w:val="24"/>
          <w:szCs w:val="24"/>
        </w:rPr>
        <w:t>c</w:t>
      </w:r>
      <w:proofErr w:type="gramEnd"/>
      <w:r w:rsidRPr="008A3616">
        <w:rPr>
          <w:b/>
          <w:bCs/>
          <w:sz w:val="24"/>
          <w:szCs w:val="24"/>
        </w:rPr>
        <w:t>. Ağızdan Ateş Ölçerken Dikkat Edilecek Hususlar</w:t>
      </w:r>
    </w:p>
    <w:p w:rsidR="00010250" w:rsidRDefault="00010250" w:rsidP="00010250">
      <w:pPr>
        <w:pStyle w:val="ListeParagraf"/>
        <w:numPr>
          <w:ilvl w:val="0"/>
          <w:numId w:val="1"/>
        </w:numPr>
        <w:jc w:val="both"/>
      </w:pPr>
      <w:r>
        <w:t>Hasta işlemden 15 dakika öncesine kadar sıcak ya da soğuk yiyecek ya da içecek tüketmemiş olmalıdır.</w:t>
      </w:r>
    </w:p>
    <w:p w:rsidR="00010250" w:rsidRDefault="00010250" w:rsidP="00010250">
      <w:pPr>
        <w:pStyle w:val="ListeParagraf"/>
        <w:numPr>
          <w:ilvl w:val="0"/>
          <w:numId w:val="1"/>
        </w:numPr>
        <w:jc w:val="both"/>
      </w:pPr>
      <w:r>
        <w:t>Termometrenin ucu işlem öncesi ve sonrasında temizlenmelidir.</w:t>
      </w:r>
    </w:p>
    <w:p w:rsidR="00010250" w:rsidRDefault="00010250" w:rsidP="00010250">
      <w:pPr>
        <w:pStyle w:val="ListeParagraf"/>
        <w:numPr>
          <w:ilvl w:val="0"/>
          <w:numId w:val="1"/>
        </w:numPr>
        <w:jc w:val="both"/>
      </w:pPr>
      <w:r>
        <w:t>Termometrenin sıcaklığa duyarlı uç kısmı hastanın dilinin altına yerleştirilir. Alt molarların iç yanındaki alanlar sıcaklık ölçümü için idealdir.</w:t>
      </w:r>
    </w:p>
    <w:p w:rsidR="00010250" w:rsidRDefault="00010250" w:rsidP="00010250">
      <w:pPr>
        <w:pStyle w:val="ListeParagraf"/>
        <w:numPr>
          <w:ilvl w:val="0"/>
          <w:numId w:val="1"/>
        </w:numPr>
        <w:jc w:val="both"/>
      </w:pPr>
      <w:r>
        <w:t>Hastadan ölçüm sırasında dudaklarını kapatması ve burnundan nefes alması istenir.</w:t>
      </w:r>
    </w:p>
    <w:p w:rsidR="00010250" w:rsidRDefault="00010250" w:rsidP="00010250">
      <w:pPr>
        <w:pStyle w:val="ListeParagraf"/>
        <w:numPr>
          <w:ilvl w:val="0"/>
          <w:numId w:val="1"/>
        </w:numPr>
        <w:jc w:val="both"/>
      </w:pPr>
      <w:r>
        <w:t>Ağızdan ateş ölçümü hastanın iş birliğini gerektirir. 5 yaşından küçük çocuklarda; bilinci kapalı, psikiyatrik sorunları olan, ağzında yara bulunan ya da burun tıkanıklığı olan hastalarda ağızdan ateş ölçümü tavsiye edilmez.</w:t>
      </w:r>
    </w:p>
    <w:p w:rsidR="00010250" w:rsidRDefault="00010250" w:rsidP="00010250">
      <w:pPr>
        <w:pStyle w:val="ListeParagraf"/>
        <w:numPr>
          <w:ilvl w:val="0"/>
          <w:numId w:val="1"/>
        </w:numPr>
        <w:jc w:val="both"/>
      </w:pPr>
      <w:r>
        <w:t xml:space="preserve">Sıcaklığın </w:t>
      </w:r>
      <w:proofErr w:type="gramStart"/>
      <w:r>
        <w:t>37.5</w:t>
      </w:r>
      <w:proofErr w:type="gramEnd"/>
      <w:r>
        <w:t xml:space="preserve"> </w:t>
      </w:r>
      <w:r w:rsidRPr="00D37705">
        <w:rPr>
          <w:rFonts w:cstheme="minorHAnsi"/>
          <w:b/>
          <w:bCs/>
          <w:sz w:val="24"/>
          <w:szCs w:val="24"/>
          <w:vertAlign w:val="superscript"/>
        </w:rPr>
        <w:t>◦</w:t>
      </w:r>
      <w:r>
        <w:t>C’tan daha yüksek olması ateş olarak kabul edilir.</w:t>
      </w:r>
    </w:p>
    <w:p w:rsidR="00010250" w:rsidRDefault="00010250" w:rsidP="00010250">
      <w:pPr>
        <w:jc w:val="center"/>
      </w:pPr>
      <w:r>
        <w:rPr>
          <w:noProof/>
          <w:lang w:eastAsia="tr-TR"/>
        </w:rPr>
        <w:lastRenderedPageBreak/>
        <w:drawing>
          <wp:inline distT="0" distB="0" distL="0" distR="0" wp14:anchorId="33BA494C" wp14:editId="0C9AAD52">
            <wp:extent cx="2695575" cy="316839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588" cy="3180167"/>
                    </a:xfrm>
                    <a:prstGeom prst="rect">
                      <a:avLst/>
                    </a:prstGeom>
                    <a:noFill/>
                    <a:ln>
                      <a:noFill/>
                    </a:ln>
                  </pic:spPr>
                </pic:pic>
              </a:graphicData>
            </a:graphic>
          </wp:inline>
        </w:drawing>
      </w:r>
    </w:p>
    <w:p w:rsidR="008A3616" w:rsidRPr="0046383C" w:rsidRDefault="00010250" w:rsidP="008A3616">
      <w:pPr>
        <w:jc w:val="both"/>
        <w:rPr>
          <w:b/>
          <w:bCs/>
          <w:sz w:val="24"/>
          <w:szCs w:val="24"/>
        </w:rPr>
      </w:pPr>
      <w:proofErr w:type="gramStart"/>
      <w:r>
        <w:rPr>
          <w:b/>
          <w:bCs/>
          <w:sz w:val="24"/>
          <w:szCs w:val="24"/>
        </w:rPr>
        <w:t>d</w:t>
      </w:r>
      <w:proofErr w:type="gramEnd"/>
      <w:r w:rsidR="008A3616" w:rsidRPr="0046383C">
        <w:rPr>
          <w:b/>
          <w:bCs/>
          <w:sz w:val="24"/>
          <w:szCs w:val="24"/>
        </w:rPr>
        <w:t>. Kulak Yolundan Ateş Ölçerken Dikkat Edilecek Hususlar</w:t>
      </w:r>
    </w:p>
    <w:p w:rsidR="00CE10FD" w:rsidRDefault="00CE10FD" w:rsidP="00CE10FD">
      <w:pPr>
        <w:pStyle w:val="ListeParagraf"/>
        <w:numPr>
          <w:ilvl w:val="0"/>
          <w:numId w:val="4"/>
        </w:numPr>
        <w:jc w:val="both"/>
      </w:pPr>
      <w:r>
        <w:t>Ağlama, ölçüm sonucunu etkileyebileceğinden dolayı; bebek/çocuk sakinken ölçüm yapılmalıdır.</w:t>
      </w:r>
    </w:p>
    <w:p w:rsidR="00AB2E53" w:rsidRDefault="00AB2E53" w:rsidP="00CE10FD">
      <w:pPr>
        <w:pStyle w:val="ListeParagraf"/>
        <w:numPr>
          <w:ilvl w:val="0"/>
          <w:numId w:val="4"/>
        </w:numPr>
        <w:jc w:val="both"/>
      </w:pPr>
      <w:r>
        <w:t>Hasta, ölçüm yapılacak kulağın</w:t>
      </w:r>
      <w:r w:rsidR="00010250">
        <w:t>ın</w:t>
      </w:r>
      <w:r>
        <w:t xml:space="preserve"> üzerine uzanmışsa, bu durum yüksek ölçümlere yol açabilir.</w:t>
      </w:r>
    </w:p>
    <w:p w:rsidR="0046383C" w:rsidRDefault="00CE10FD" w:rsidP="0046383C">
      <w:pPr>
        <w:pStyle w:val="ListeParagraf"/>
        <w:numPr>
          <w:ilvl w:val="0"/>
          <w:numId w:val="4"/>
        </w:numPr>
        <w:jc w:val="both"/>
      </w:pPr>
      <w:r>
        <w:t>Ölçüm öncesi ve sonrası probun ucu temizlenmeli ve ölçüm öncesinde üzerine tek kullanımlık (hastaya özel) spekulum kılıfı takılmalıdır.</w:t>
      </w:r>
    </w:p>
    <w:p w:rsidR="00CE10FD" w:rsidRDefault="00CE10FD" w:rsidP="00CE10FD">
      <w:pPr>
        <w:pStyle w:val="ListeParagraf"/>
        <w:numPr>
          <w:ilvl w:val="0"/>
          <w:numId w:val="4"/>
        </w:numPr>
        <w:jc w:val="both"/>
      </w:pPr>
      <w:r>
        <w:t>Kulak kepçesi, 1 yaşın altındaki bebeklerde geri çekilerek, 1 yaşın üzerindeki çocuklarda ise geri ve yukarı çekilerek dış kulak yolu düzleştirilir.</w:t>
      </w:r>
    </w:p>
    <w:p w:rsidR="00CE10FD" w:rsidRDefault="00CE10FD" w:rsidP="00CE10FD">
      <w:pPr>
        <w:pStyle w:val="ListeParagraf"/>
        <w:numPr>
          <w:ilvl w:val="0"/>
          <w:numId w:val="4"/>
        </w:numPr>
        <w:jc w:val="both"/>
      </w:pPr>
      <w:r>
        <w:t>Bebeğin/çocuğun ölçüm sırasında başını sabit tutması sağlanmalıdır.</w:t>
      </w:r>
    </w:p>
    <w:p w:rsidR="00CE10FD" w:rsidRDefault="008F25D8" w:rsidP="008F25D8">
      <w:pPr>
        <w:pStyle w:val="ListeParagraf"/>
        <w:numPr>
          <w:ilvl w:val="0"/>
          <w:numId w:val="4"/>
        </w:numPr>
        <w:jc w:val="both"/>
      </w:pPr>
      <w:r>
        <w:t xml:space="preserve">Kulak termometresi, kulak zarından yayılan kızılötesi ışınlar aracılığıyla sıcaklığı ölçer. </w:t>
      </w:r>
      <w:r w:rsidR="00CE10FD">
        <w:t>Kulak yolundaki kirlilik (serümen) fazla ise (buşon), sıcaklığın hatalı olarak düşük ölçülmesine neden olabilir.</w:t>
      </w:r>
      <w:r>
        <w:t xml:space="preserve"> </w:t>
      </w:r>
      <w:r w:rsidR="00CE10FD">
        <w:t>Orta kulak iltihabı varsa, sıcaklık hatalı olarak yüksek ölçülebilir.</w:t>
      </w:r>
      <w:r w:rsidR="002E0842">
        <w:t xml:space="preserve"> Doğru bir ölçüm için, termometrenin probu</w:t>
      </w:r>
      <w:r w:rsidR="00010250">
        <w:t>,</w:t>
      </w:r>
      <w:r w:rsidR="002E0842">
        <w:t xml:space="preserve"> kulak yolunun duvarına doğru değil, kulak kanalına/zarına doğru yönlenmiş olmalıdır.</w:t>
      </w:r>
    </w:p>
    <w:p w:rsidR="008F25D8" w:rsidRDefault="008F25D8" w:rsidP="008F25D8">
      <w:pPr>
        <w:pStyle w:val="ListeParagraf"/>
        <w:numPr>
          <w:ilvl w:val="0"/>
          <w:numId w:val="4"/>
        </w:numPr>
        <w:jc w:val="both"/>
      </w:pPr>
      <w:r>
        <w:t xml:space="preserve">Sıcaklığın 38 </w:t>
      </w:r>
      <w:r w:rsidRPr="00D37705">
        <w:rPr>
          <w:rFonts w:cstheme="minorHAnsi"/>
          <w:b/>
          <w:bCs/>
          <w:sz w:val="24"/>
          <w:szCs w:val="24"/>
          <w:vertAlign w:val="superscript"/>
        </w:rPr>
        <w:t>◦</w:t>
      </w:r>
      <w:r>
        <w:t>C’tan daha yüksek olması ateş olarak kabul edilir.</w:t>
      </w:r>
    </w:p>
    <w:p w:rsidR="000248CD" w:rsidRDefault="000248CD" w:rsidP="000248CD">
      <w:pPr>
        <w:jc w:val="center"/>
      </w:pPr>
      <w:r>
        <w:rPr>
          <w:noProof/>
          <w:lang w:eastAsia="tr-TR"/>
        </w:rPr>
        <w:drawing>
          <wp:inline distT="0" distB="0" distL="0" distR="0">
            <wp:extent cx="3329874" cy="1743075"/>
            <wp:effectExtent l="0" t="0" r="444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874" cy="1743075"/>
                    </a:xfrm>
                    <a:prstGeom prst="rect">
                      <a:avLst/>
                    </a:prstGeom>
                    <a:noFill/>
                    <a:ln>
                      <a:noFill/>
                    </a:ln>
                  </pic:spPr>
                </pic:pic>
              </a:graphicData>
            </a:graphic>
          </wp:inline>
        </w:drawing>
      </w:r>
    </w:p>
    <w:p w:rsidR="008A3616" w:rsidRPr="0054384A" w:rsidRDefault="008A3616" w:rsidP="008A3616">
      <w:pPr>
        <w:jc w:val="both"/>
        <w:rPr>
          <w:b/>
          <w:bCs/>
          <w:sz w:val="24"/>
          <w:szCs w:val="24"/>
        </w:rPr>
      </w:pPr>
      <w:proofErr w:type="gramStart"/>
      <w:r w:rsidRPr="0054384A">
        <w:rPr>
          <w:b/>
          <w:bCs/>
          <w:sz w:val="24"/>
          <w:szCs w:val="24"/>
        </w:rPr>
        <w:lastRenderedPageBreak/>
        <w:t>e</w:t>
      </w:r>
      <w:proofErr w:type="gramEnd"/>
      <w:r w:rsidRPr="0054384A">
        <w:rPr>
          <w:b/>
          <w:bCs/>
          <w:sz w:val="24"/>
          <w:szCs w:val="24"/>
        </w:rPr>
        <w:t>. Makattan Ateş Ölçerken Dikkat Edilecek Hususlar</w:t>
      </w:r>
    </w:p>
    <w:p w:rsidR="0054384A" w:rsidRDefault="0054384A" w:rsidP="0054384A">
      <w:pPr>
        <w:pStyle w:val="ListeParagraf"/>
        <w:numPr>
          <w:ilvl w:val="0"/>
          <w:numId w:val="5"/>
        </w:numPr>
        <w:jc w:val="both"/>
      </w:pPr>
      <w:r>
        <w:t>Termometrenin ucu işlem öncesi ve sonrasında temizlenmelidir.</w:t>
      </w:r>
    </w:p>
    <w:p w:rsidR="0054384A" w:rsidRDefault="0054384A" w:rsidP="0054384A">
      <w:pPr>
        <w:pStyle w:val="ListeParagraf"/>
        <w:numPr>
          <w:ilvl w:val="0"/>
          <w:numId w:val="5"/>
        </w:numPr>
        <w:jc w:val="both"/>
      </w:pPr>
      <w:r>
        <w:t>Termometrenin ucu vazelin vb. kayganlaştırıcılar ile kayganlaştırılmalıdır.</w:t>
      </w:r>
    </w:p>
    <w:p w:rsidR="00BF4D2D" w:rsidRDefault="00BF4D2D" w:rsidP="0054384A">
      <w:pPr>
        <w:pStyle w:val="ListeParagraf"/>
        <w:numPr>
          <w:ilvl w:val="0"/>
          <w:numId w:val="5"/>
        </w:numPr>
        <w:jc w:val="both"/>
      </w:pPr>
      <w:r>
        <w:t xml:space="preserve">Büyük çocuklar lateral ya da yüzüstü (pron), küçük bebekler sırtüstü (supin) pozisyonunda tutulur. </w:t>
      </w:r>
    </w:p>
    <w:p w:rsidR="007E5FEA" w:rsidRDefault="007E5FEA" w:rsidP="0054384A">
      <w:pPr>
        <w:pStyle w:val="ListeParagraf"/>
        <w:numPr>
          <w:ilvl w:val="0"/>
          <w:numId w:val="5"/>
        </w:numPr>
        <w:jc w:val="both"/>
      </w:pPr>
      <w:r>
        <w:t>Anüsü görebilmek için sol elin başparmağı ve işaret parmağı ile kalçalar hafifçe yanlara itilir ve termometre sağ elle yerleştirilir.</w:t>
      </w:r>
    </w:p>
    <w:p w:rsidR="00BF4D2D" w:rsidRDefault="007E5FEA" w:rsidP="00B32491">
      <w:pPr>
        <w:pStyle w:val="ListeParagraf"/>
        <w:numPr>
          <w:ilvl w:val="0"/>
          <w:numId w:val="5"/>
        </w:numPr>
        <w:jc w:val="both"/>
      </w:pPr>
      <w:r>
        <w:t>Anal kanal ve rektumda yara, hemoroit vb. durumlar varsa,</w:t>
      </w:r>
      <w:r w:rsidR="00B32491">
        <w:t xml:space="preserve"> hastada </w:t>
      </w:r>
      <w:r>
        <w:t>bağışıklık sistemini etkileyen bir hastalık varsa rektal ateş ölçümü önerilmez.</w:t>
      </w:r>
    </w:p>
    <w:p w:rsidR="00D75EC2" w:rsidRDefault="00BF4D2D" w:rsidP="00D75EC2">
      <w:pPr>
        <w:pStyle w:val="ListeParagraf"/>
        <w:numPr>
          <w:ilvl w:val="0"/>
          <w:numId w:val="5"/>
        </w:numPr>
        <w:jc w:val="both"/>
      </w:pPr>
      <w:r>
        <w:t xml:space="preserve">Sıcaklığın 38 </w:t>
      </w:r>
      <w:r w:rsidRPr="00D37705">
        <w:rPr>
          <w:rFonts w:cstheme="minorHAnsi"/>
          <w:b/>
          <w:bCs/>
          <w:sz w:val="24"/>
          <w:szCs w:val="24"/>
          <w:vertAlign w:val="superscript"/>
        </w:rPr>
        <w:t>◦</w:t>
      </w:r>
      <w:r>
        <w:t>C’tan daha yüksek olması ateş olarak kabul edilir.</w:t>
      </w:r>
    </w:p>
    <w:p w:rsidR="00F017B6" w:rsidRDefault="00D75EC2" w:rsidP="00F017B6">
      <w:pPr>
        <w:pStyle w:val="ListeParagraf"/>
        <w:numPr>
          <w:ilvl w:val="0"/>
          <w:numId w:val="5"/>
        </w:numPr>
        <w:jc w:val="both"/>
      </w:pPr>
      <w:r>
        <w:t xml:space="preserve">Rektal ateş ölçümü vücut iç (kor) sıcaklığının </w:t>
      </w:r>
      <w:r w:rsidRPr="009F61A4">
        <w:rPr>
          <w:u w:val="single"/>
        </w:rPr>
        <w:t>en iyi göstergesi</w:t>
      </w:r>
      <w:r w:rsidR="006F7814">
        <w:t xml:space="preserve"> olarak kabul edilmektedir.</w:t>
      </w:r>
    </w:p>
    <w:p w:rsidR="00735F78" w:rsidRDefault="00735F78" w:rsidP="00735F78">
      <w:pPr>
        <w:jc w:val="both"/>
      </w:pPr>
    </w:p>
    <w:p w:rsidR="00735F78" w:rsidRDefault="00735F78" w:rsidP="00735F78">
      <w:pPr>
        <w:jc w:val="both"/>
      </w:pPr>
      <w:r>
        <w:t>Farklı vücut bölgelerinden yapılan sıcaklık ölçümlerinde elde edilen değerlerin sıralanışı düşükten yükseğe doğru genellikle şu şekilde olur:</w:t>
      </w:r>
    </w:p>
    <w:p w:rsidR="00F017B6" w:rsidRDefault="00F017B6" w:rsidP="00F017B6">
      <w:pPr>
        <w:jc w:val="both"/>
      </w:pPr>
      <w:r w:rsidRPr="00F017B6">
        <w:rPr>
          <w:noProof/>
          <w:lang w:eastAsia="tr-TR"/>
        </w:rPr>
        <w:drawing>
          <wp:inline distT="0" distB="0" distL="0" distR="0" wp14:anchorId="78DF22A1" wp14:editId="2340675C">
            <wp:extent cx="5486400" cy="990600"/>
            <wp:effectExtent l="76200" t="0" r="762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F017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FE" w:rsidRDefault="003A2CFE" w:rsidP="00F7047A">
      <w:pPr>
        <w:spacing w:after="0" w:line="240" w:lineRule="auto"/>
      </w:pPr>
      <w:r>
        <w:separator/>
      </w:r>
    </w:p>
  </w:endnote>
  <w:endnote w:type="continuationSeparator" w:id="0">
    <w:p w:rsidR="003A2CFE" w:rsidRDefault="003A2CFE" w:rsidP="00F7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FE" w:rsidRDefault="003A2CFE" w:rsidP="00F7047A">
      <w:pPr>
        <w:spacing w:after="0" w:line="240" w:lineRule="auto"/>
      </w:pPr>
      <w:r>
        <w:separator/>
      </w:r>
    </w:p>
  </w:footnote>
  <w:footnote w:type="continuationSeparator" w:id="0">
    <w:p w:rsidR="003A2CFE" w:rsidRDefault="003A2CFE" w:rsidP="00F7047A">
      <w:pPr>
        <w:spacing w:after="0" w:line="240" w:lineRule="auto"/>
      </w:pPr>
      <w:r>
        <w:continuationSeparator/>
      </w:r>
    </w:p>
  </w:footnote>
  <w:footnote w:id="1">
    <w:p w:rsidR="004918EE" w:rsidRDefault="004918EE" w:rsidP="00DB7EC5">
      <w:pPr>
        <w:pStyle w:val="DipnotMetni"/>
        <w:jc w:val="both"/>
      </w:pPr>
      <w:r>
        <w:rPr>
          <w:rStyle w:val="DipnotBavurusu"/>
        </w:rPr>
        <w:footnoteRef/>
      </w:r>
      <w:r>
        <w:t xml:space="preserve"> Ateşi tetikleyen maddelere pirojen denir.</w:t>
      </w:r>
    </w:p>
  </w:footnote>
  <w:footnote w:id="2">
    <w:p w:rsidR="004918EE" w:rsidRDefault="004918EE" w:rsidP="00DB7EC5">
      <w:pPr>
        <w:pStyle w:val="DipnotMetni"/>
        <w:jc w:val="both"/>
      </w:pPr>
      <w:r>
        <w:rPr>
          <w:rStyle w:val="DipnotBavurusu"/>
        </w:rPr>
        <w:footnoteRef/>
      </w:r>
      <w:r>
        <w:t xml:space="preserve"> </w:t>
      </w:r>
      <w:r w:rsidRPr="007B1057">
        <w:t xml:space="preserve">Cooper KE, Cranston WI, Honour AJ. Observations on the site &amp; mode of action of pyrogens in the rabbit brain. J Physiol. 1967 Jul;191(2):325-37. doi: </w:t>
      </w:r>
      <w:proofErr w:type="gramStart"/>
      <w:r w:rsidRPr="007B1057">
        <w:t>10.1113</w:t>
      </w:r>
      <w:proofErr w:type="gramEnd"/>
      <w:r w:rsidRPr="007B1057">
        <w:t>/jphysiol.1967.sp008253. PMID: 6050108; PMCID: PMC1365456.</w:t>
      </w:r>
    </w:p>
  </w:footnote>
  <w:footnote w:id="3">
    <w:p w:rsidR="00DB7EC5" w:rsidRDefault="00DB7EC5" w:rsidP="00DB7EC5">
      <w:pPr>
        <w:pStyle w:val="DipnotMetni"/>
        <w:jc w:val="both"/>
      </w:pPr>
      <w:r>
        <w:rPr>
          <w:rStyle w:val="DipnotBavurusu"/>
        </w:rPr>
        <w:footnoteRef/>
      </w:r>
      <w:r>
        <w:t xml:space="preserve"> PGH</w:t>
      </w:r>
      <w:r w:rsidRPr="00DB7EC5">
        <w:rPr>
          <w:vertAlign w:val="subscript"/>
        </w:rPr>
        <w:t>2</w:t>
      </w:r>
      <w:r>
        <w:t>’nin PGE</w:t>
      </w:r>
      <w:r w:rsidRPr="00DB7EC5">
        <w:rPr>
          <w:vertAlign w:val="subscript"/>
        </w:rPr>
        <w:t>2</w:t>
      </w:r>
      <w:r>
        <w:t>’ye dönüşümünü katalize eden mikrozomal prostaglandin E sentaz-1 (</w:t>
      </w:r>
      <w:r w:rsidRPr="00DB7EC5">
        <w:rPr>
          <w:i/>
          <w:iCs/>
        </w:rPr>
        <w:t>microsomal prostaglandin E synthase-1</w:t>
      </w:r>
      <w:r>
        <w:t>, mPGES-1).</w:t>
      </w:r>
    </w:p>
  </w:footnote>
  <w:footnote w:id="4">
    <w:p w:rsidR="003604D3" w:rsidRDefault="003604D3" w:rsidP="00AF64CC">
      <w:pPr>
        <w:pStyle w:val="DipnotMetni"/>
        <w:jc w:val="both"/>
      </w:pPr>
      <w:r>
        <w:rPr>
          <w:rStyle w:val="DipnotBavurusu"/>
        </w:rPr>
        <w:footnoteRef/>
      </w:r>
      <w:r>
        <w:t xml:space="preserve"> TNF-</w:t>
      </w:r>
      <w:r>
        <w:rPr>
          <w:rFonts w:cstheme="minorHAnsi"/>
        </w:rPr>
        <w:t>α</w:t>
      </w:r>
      <w:r>
        <w:t xml:space="preserve"> da, muhtemelen bu sitokinlerin salınımına yol açarak, ateşe neden olmaktadır.</w:t>
      </w:r>
    </w:p>
  </w:footnote>
  <w:footnote w:id="5">
    <w:p w:rsidR="00867F01" w:rsidRDefault="00867F01" w:rsidP="00AF64CC">
      <w:pPr>
        <w:pStyle w:val="DipnotMetni"/>
        <w:jc w:val="both"/>
      </w:pPr>
      <w:r>
        <w:rPr>
          <w:rStyle w:val="DipnotBavurusu"/>
        </w:rPr>
        <w:footnoteRef/>
      </w:r>
      <w:r>
        <w:t xml:space="preserve"> </w:t>
      </w:r>
      <w:r w:rsidRPr="00867F01">
        <w:t>Sempatik otonom sinir sistemini</w:t>
      </w:r>
      <w:r>
        <w:t>n preganglionik nöronları T1-</w:t>
      </w:r>
      <w:r w:rsidRPr="00867F01">
        <w:t>L2 medulla spinalis segmentleri arasında intermediolateral hücre kolonunda bulunur</w:t>
      </w:r>
      <w:r>
        <w:t>.</w:t>
      </w:r>
    </w:p>
  </w:footnote>
  <w:footnote w:id="6">
    <w:p w:rsidR="00867F01" w:rsidRDefault="00867F01" w:rsidP="00AF64CC">
      <w:pPr>
        <w:pStyle w:val="DipnotMetni"/>
        <w:jc w:val="both"/>
      </w:pPr>
      <w:r>
        <w:rPr>
          <w:rStyle w:val="DipnotBavurusu"/>
        </w:rPr>
        <w:footnoteRef/>
      </w:r>
      <w:r>
        <w:t xml:space="preserve"> Sempatik sinir uçlarından nöradrenalin salınımı periferik damarlarda vazokonstrüksiyona yol açar.</w:t>
      </w:r>
    </w:p>
  </w:footnote>
  <w:footnote w:id="7">
    <w:p w:rsidR="0052407C" w:rsidRDefault="0052407C" w:rsidP="00AF64CC">
      <w:pPr>
        <w:pStyle w:val="DipnotMetni"/>
        <w:jc w:val="both"/>
      </w:pPr>
      <w:r>
        <w:rPr>
          <w:rStyle w:val="DipnotBavurusu"/>
        </w:rPr>
        <w:footnoteRef/>
      </w:r>
      <w:r>
        <w:t xml:space="preserve"> </w:t>
      </w:r>
      <w:r w:rsidR="00AF64CC" w:rsidRPr="00AF64CC">
        <w:t>Kahverengi yağ dokusunun asıl görevi</w:t>
      </w:r>
      <w:r w:rsidR="00AF64CC">
        <w:t>,</w:t>
      </w:r>
      <w:r w:rsidR="00AF64CC" w:rsidRPr="00AF64CC">
        <w:t xml:space="preserve"> yağı depolamak değil, yağı yak</w:t>
      </w:r>
      <w:r w:rsidR="00AF64CC">
        <w:t>arak</w:t>
      </w:r>
      <w:r w:rsidR="00AF64CC" w:rsidRPr="00AF64CC">
        <w:t xml:space="preserve"> vücuda ı</w:t>
      </w:r>
      <w:r w:rsidR="00AF64CC">
        <w:t>sı sağlamak yani termogenezdir</w:t>
      </w:r>
      <w:r w:rsidR="00AF64CC" w:rsidRPr="00AF64CC">
        <w:t>.</w:t>
      </w:r>
      <w:r w:rsidR="00AF64CC">
        <w:t xml:space="preserve"> Yağ hücreleri</w:t>
      </w:r>
      <w:r w:rsidR="00AF64CC" w:rsidRPr="00AF64CC">
        <w:t xml:space="preserve"> mitokondrilerle dolu ol</w:t>
      </w:r>
      <w:r w:rsidR="00AF64CC">
        <w:t xml:space="preserve">duğu için </w:t>
      </w:r>
      <w:r w:rsidR="00AF64CC" w:rsidRPr="00AF64CC">
        <w:t>kahverengi</w:t>
      </w:r>
      <w:r w:rsidR="00AF64CC">
        <w:t xml:space="preserve"> gözükür. </w:t>
      </w:r>
      <w:r w:rsidR="00AF64CC" w:rsidRPr="00AF64CC">
        <w:t>Yetişkinlerde kahverengi yağ</w:t>
      </w:r>
      <w:r w:rsidR="00AF64CC">
        <w:t xml:space="preserve"> dokusu</w:t>
      </w:r>
      <w:r w:rsidR="00AF64CC" w:rsidRPr="00AF64CC">
        <w:t xml:space="preserve">, boyun, </w:t>
      </w:r>
      <w:r w:rsidR="00AF64CC">
        <w:t xml:space="preserve">mediasten, böbrekler ve adrenal bezlerin </w:t>
      </w:r>
      <w:r w:rsidR="00AF64CC" w:rsidRPr="00AF64CC">
        <w:t>çevresinde bulunur.</w:t>
      </w:r>
    </w:p>
  </w:footnote>
  <w:footnote w:id="8">
    <w:p w:rsidR="0052407C" w:rsidRDefault="0052407C" w:rsidP="00AF64CC">
      <w:pPr>
        <w:pStyle w:val="DipnotMetni"/>
        <w:jc w:val="both"/>
      </w:pPr>
      <w:r>
        <w:rPr>
          <w:rStyle w:val="DipnotBavurusu"/>
        </w:rPr>
        <w:footnoteRef/>
      </w:r>
      <w:r>
        <w:t xml:space="preserve"> Ventral horn, iskelet kaslarını etkileyen motor nöronların çekirdeklerini içerdiği için motor horn olarak da bilinir. </w:t>
      </w:r>
    </w:p>
  </w:footnote>
  <w:footnote w:id="9">
    <w:p w:rsidR="0052407C" w:rsidRDefault="0052407C" w:rsidP="00AF64CC">
      <w:pPr>
        <w:pStyle w:val="DipnotMetni"/>
        <w:jc w:val="both"/>
      </w:pPr>
      <w:r>
        <w:rPr>
          <w:rStyle w:val="DipnotBavurusu"/>
        </w:rPr>
        <w:footnoteRef/>
      </w:r>
      <w:r>
        <w:t xml:space="preserve"> </w:t>
      </w:r>
      <w:r w:rsidR="00AF64CC">
        <w:t xml:space="preserve">Ventral horndan uzanan motor nöronların uçlarından asetilkolin salınımı, iskelet kaslarında titremeye neden olur. </w:t>
      </w:r>
    </w:p>
  </w:footnote>
  <w:footnote w:id="10">
    <w:p w:rsidR="00F017B6" w:rsidRDefault="00F017B6" w:rsidP="00F017B6">
      <w:pPr>
        <w:pStyle w:val="DipnotMetni"/>
        <w:jc w:val="both"/>
      </w:pPr>
      <w:r>
        <w:rPr>
          <w:rStyle w:val="DipnotBavurusu"/>
        </w:rPr>
        <w:footnoteRef/>
      </w:r>
      <w:r>
        <w:t xml:space="preserve"> Beyinde k</w:t>
      </w:r>
      <w:r w:rsidRPr="00F7047A">
        <w:t>an-beyin bariyeri bulunmayan bölgeler sirkumventriküler organlar olarak ifade edilir</w:t>
      </w:r>
      <w:r>
        <w:t>.</w:t>
      </w:r>
      <w:r w:rsidRPr="00F7047A">
        <w:t xml:space="preserve"> </w:t>
      </w:r>
      <w:r>
        <w:t>Bu organlar (arka hipofiz, epifiz bezi, m</w:t>
      </w:r>
      <w:r w:rsidRPr="00F7047A">
        <w:t>ed</w:t>
      </w:r>
      <w:r>
        <w:t>ian eminens, area postrema, l</w:t>
      </w:r>
      <w:r w:rsidRPr="00F7047A">
        <w:t>amina ter</w:t>
      </w:r>
      <w:r>
        <w:t>minalisin organum vaskülozumu, subfornikal organ, subkomissural organ)</w:t>
      </w:r>
      <w:r w:rsidRPr="00F7047A">
        <w:t xml:space="preserve"> kan, beyin ve BOS arasındaki iletişim noktalarıdır</w:t>
      </w:r>
      <w:r>
        <w:t>.</w:t>
      </w:r>
    </w:p>
  </w:footnote>
  <w:footnote w:id="11">
    <w:p w:rsidR="00E72CEE" w:rsidRDefault="00E72CEE">
      <w:pPr>
        <w:pStyle w:val="DipnotMetni"/>
      </w:pPr>
      <w:r>
        <w:rPr>
          <w:rStyle w:val="DipnotBavurusu"/>
        </w:rPr>
        <w:footnoteRef/>
      </w:r>
      <w:r>
        <w:t xml:space="preserve"> Kozmetikler </w:t>
      </w:r>
      <w:proofErr w:type="gramStart"/>
      <w:r>
        <w:t>dahil</w:t>
      </w:r>
      <w:proofErr w:type="gramEnd"/>
      <w:r>
        <w:t>.</w:t>
      </w:r>
    </w:p>
  </w:footnote>
  <w:footnote w:id="12">
    <w:p w:rsidR="00010250" w:rsidRDefault="00010250" w:rsidP="00010250">
      <w:pPr>
        <w:pStyle w:val="DipnotMetni"/>
      </w:pPr>
      <w:r>
        <w:rPr>
          <w:rStyle w:val="DipnotBavurusu"/>
        </w:rPr>
        <w:footnoteRef/>
      </w:r>
      <w:r>
        <w:t xml:space="preserve"> İçe çekme, vücuda yaklaştırma.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124"/>
    <w:multiLevelType w:val="hybridMultilevel"/>
    <w:tmpl w:val="DE90D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0435E2"/>
    <w:multiLevelType w:val="hybridMultilevel"/>
    <w:tmpl w:val="CA4E8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333279"/>
    <w:multiLevelType w:val="hybridMultilevel"/>
    <w:tmpl w:val="1A22E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7D3648"/>
    <w:multiLevelType w:val="hybridMultilevel"/>
    <w:tmpl w:val="6554A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6048CF"/>
    <w:multiLevelType w:val="hybridMultilevel"/>
    <w:tmpl w:val="BDD40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F9"/>
    <w:rsid w:val="00010250"/>
    <w:rsid w:val="000248CD"/>
    <w:rsid w:val="00040347"/>
    <w:rsid w:val="00076D98"/>
    <w:rsid w:val="00084187"/>
    <w:rsid w:val="000A0533"/>
    <w:rsid w:val="000A4734"/>
    <w:rsid w:val="000A7DCA"/>
    <w:rsid w:val="000C139E"/>
    <w:rsid w:val="000C3E85"/>
    <w:rsid w:val="000E73FE"/>
    <w:rsid w:val="00102228"/>
    <w:rsid w:val="001107AA"/>
    <w:rsid w:val="00123B99"/>
    <w:rsid w:val="001412B4"/>
    <w:rsid w:val="001E68E5"/>
    <w:rsid w:val="00201980"/>
    <w:rsid w:val="00234094"/>
    <w:rsid w:val="002542C5"/>
    <w:rsid w:val="002E0842"/>
    <w:rsid w:val="002E577C"/>
    <w:rsid w:val="002F567B"/>
    <w:rsid w:val="003604D3"/>
    <w:rsid w:val="00395111"/>
    <w:rsid w:val="003A2CFE"/>
    <w:rsid w:val="003C30EE"/>
    <w:rsid w:val="003E5E1D"/>
    <w:rsid w:val="0042221F"/>
    <w:rsid w:val="004267D8"/>
    <w:rsid w:val="00444078"/>
    <w:rsid w:val="004616D2"/>
    <w:rsid w:val="0046383C"/>
    <w:rsid w:val="0046630A"/>
    <w:rsid w:val="00486CEA"/>
    <w:rsid w:val="004918EE"/>
    <w:rsid w:val="004E30F7"/>
    <w:rsid w:val="0052407C"/>
    <w:rsid w:val="0054384A"/>
    <w:rsid w:val="00544C15"/>
    <w:rsid w:val="0057172E"/>
    <w:rsid w:val="00583479"/>
    <w:rsid w:val="00587144"/>
    <w:rsid w:val="005922E7"/>
    <w:rsid w:val="005C12F2"/>
    <w:rsid w:val="006409F9"/>
    <w:rsid w:val="006612A0"/>
    <w:rsid w:val="00663853"/>
    <w:rsid w:val="006848C9"/>
    <w:rsid w:val="0069714E"/>
    <w:rsid w:val="006B0AEA"/>
    <w:rsid w:val="006C2C5F"/>
    <w:rsid w:val="006F7814"/>
    <w:rsid w:val="00704738"/>
    <w:rsid w:val="00730D47"/>
    <w:rsid w:val="00735F78"/>
    <w:rsid w:val="00762797"/>
    <w:rsid w:val="00773EF9"/>
    <w:rsid w:val="007929EB"/>
    <w:rsid w:val="007A2106"/>
    <w:rsid w:val="007A252A"/>
    <w:rsid w:val="007B1057"/>
    <w:rsid w:val="007C74E1"/>
    <w:rsid w:val="007D13F7"/>
    <w:rsid w:val="007E5FEA"/>
    <w:rsid w:val="007E62B3"/>
    <w:rsid w:val="008307E1"/>
    <w:rsid w:val="00840D61"/>
    <w:rsid w:val="00867F01"/>
    <w:rsid w:val="008A3616"/>
    <w:rsid w:val="008F25D8"/>
    <w:rsid w:val="008F6EE0"/>
    <w:rsid w:val="009137DF"/>
    <w:rsid w:val="00930F94"/>
    <w:rsid w:val="00934863"/>
    <w:rsid w:val="009E1DD8"/>
    <w:rsid w:val="009E48AB"/>
    <w:rsid w:val="009F3551"/>
    <w:rsid w:val="009F61A4"/>
    <w:rsid w:val="00A25479"/>
    <w:rsid w:val="00A52764"/>
    <w:rsid w:val="00A7223F"/>
    <w:rsid w:val="00A9436B"/>
    <w:rsid w:val="00AB2E53"/>
    <w:rsid w:val="00AB3AFC"/>
    <w:rsid w:val="00AE452F"/>
    <w:rsid w:val="00AF64CC"/>
    <w:rsid w:val="00B17B23"/>
    <w:rsid w:val="00B32491"/>
    <w:rsid w:val="00B77A00"/>
    <w:rsid w:val="00BA189D"/>
    <w:rsid w:val="00BA3E37"/>
    <w:rsid w:val="00BF4D2D"/>
    <w:rsid w:val="00C4583C"/>
    <w:rsid w:val="00C6182B"/>
    <w:rsid w:val="00C660FF"/>
    <w:rsid w:val="00C6761C"/>
    <w:rsid w:val="00C87E86"/>
    <w:rsid w:val="00C902E8"/>
    <w:rsid w:val="00CE10FD"/>
    <w:rsid w:val="00CE29C3"/>
    <w:rsid w:val="00CF2143"/>
    <w:rsid w:val="00CF5376"/>
    <w:rsid w:val="00D04C55"/>
    <w:rsid w:val="00D10CE7"/>
    <w:rsid w:val="00D244BA"/>
    <w:rsid w:val="00D37705"/>
    <w:rsid w:val="00D37C15"/>
    <w:rsid w:val="00D43B96"/>
    <w:rsid w:val="00D44142"/>
    <w:rsid w:val="00D75EC2"/>
    <w:rsid w:val="00D8753E"/>
    <w:rsid w:val="00D965CB"/>
    <w:rsid w:val="00DA3EAD"/>
    <w:rsid w:val="00DA5190"/>
    <w:rsid w:val="00DB7EC5"/>
    <w:rsid w:val="00DE16CC"/>
    <w:rsid w:val="00DE243E"/>
    <w:rsid w:val="00DE37E9"/>
    <w:rsid w:val="00DF3A56"/>
    <w:rsid w:val="00E17B0C"/>
    <w:rsid w:val="00E34517"/>
    <w:rsid w:val="00E34BD2"/>
    <w:rsid w:val="00E7192F"/>
    <w:rsid w:val="00E72CEE"/>
    <w:rsid w:val="00EF26F9"/>
    <w:rsid w:val="00F017B6"/>
    <w:rsid w:val="00F062FD"/>
    <w:rsid w:val="00F20ACF"/>
    <w:rsid w:val="00F7047A"/>
    <w:rsid w:val="00FA08CF"/>
    <w:rsid w:val="00FB14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1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89D"/>
    <w:rPr>
      <w:rFonts w:ascii="Tahoma" w:hAnsi="Tahoma" w:cs="Tahoma"/>
      <w:sz w:val="16"/>
      <w:szCs w:val="16"/>
    </w:rPr>
  </w:style>
  <w:style w:type="character" w:styleId="Kpr">
    <w:name w:val="Hyperlink"/>
    <w:basedOn w:val="VarsaylanParagrafYazTipi"/>
    <w:uiPriority w:val="99"/>
    <w:unhideWhenUsed/>
    <w:rsid w:val="008307E1"/>
    <w:rPr>
      <w:color w:val="0000FF" w:themeColor="hyperlink"/>
      <w:u w:val="single"/>
    </w:rPr>
  </w:style>
  <w:style w:type="paragraph" w:styleId="DipnotMetni">
    <w:name w:val="footnote text"/>
    <w:basedOn w:val="Normal"/>
    <w:link w:val="DipnotMetniChar"/>
    <w:uiPriority w:val="99"/>
    <w:semiHidden/>
    <w:unhideWhenUsed/>
    <w:rsid w:val="00F7047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7047A"/>
    <w:rPr>
      <w:sz w:val="20"/>
      <w:szCs w:val="20"/>
    </w:rPr>
  </w:style>
  <w:style w:type="character" w:styleId="DipnotBavurusu">
    <w:name w:val="footnote reference"/>
    <w:basedOn w:val="VarsaylanParagrafYazTipi"/>
    <w:uiPriority w:val="99"/>
    <w:semiHidden/>
    <w:unhideWhenUsed/>
    <w:rsid w:val="00F7047A"/>
    <w:rPr>
      <w:vertAlign w:val="superscript"/>
    </w:rPr>
  </w:style>
  <w:style w:type="paragraph" w:styleId="ListeParagraf">
    <w:name w:val="List Paragraph"/>
    <w:basedOn w:val="Normal"/>
    <w:uiPriority w:val="34"/>
    <w:qFormat/>
    <w:rsid w:val="008A3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1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89D"/>
    <w:rPr>
      <w:rFonts w:ascii="Tahoma" w:hAnsi="Tahoma" w:cs="Tahoma"/>
      <w:sz w:val="16"/>
      <w:szCs w:val="16"/>
    </w:rPr>
  </w:style>
  <w:style w:type="character" w:styleId="Kpr">
    <w:name w:val="Hyperlink"/>
    <w:basedOn w:val="VarsaylanParagrafYazTipi"/>
    <w:uiPriority w:val="99"/>
    <w:unhideWhenUsed/>
    <w:rsid w:val="008307E1"/>
    <w:rPr>
      <w:color w:val="0000FF" w:themeColor="hyperlink"/>
      <w:u w:val="single"/>
    </w:rPr>
  </w:style>
  <w:style w:type="paragraph" w:styleId="DipnotMetni">
    <w:name w:val="footnote text"/>
    <w:basedOn w:val="Normal"/>
    <w:link w:val="DipnotMetniChar"/>
    <w:uiPriority w:val="99"/>
    <w:semiHidden/>
    <w:unhideWhenUsed/>
    <w:rsid w:val="00F7047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7047A"/>
    <w:rPr>
      <w:sz w:val="20"/>
      <w:szCs w:val="20"/>
    </w:rPr>
  </w:style>
  <w:style w:type="character" w:styleId="DipnotBavurusu">
    <w:name w:val="footnote reference"/>
    <w:basedOn w:val="VarsaylanParagrafYazTipi"/>
    <w:uiPriority w:val="99"/>
    <w:semiHidden/>
    <w:unhideWhenUsed/>
    <w:rsid w:val="00F7047A"/>
    <w:rPr>
      <w:vertAlign w:val="superscript"/>
    </w:rPr>
  </w:style>
  <w:style w:type="paragraph" w:styleId="ListeParagraf">
    <w:name w:val="List Paragraph"/>
    <w:basedOn w:val="Normal"/>
    <w:uiPriority w:val="34"/>
    <w:qFormat/>
    <w:rsid w:val="008A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DEB23A-269D-4B7E-8D10-44379C921F69}" type="doc">
      <dgm:prSet loTypeId="urn:microsoft.com/office/officeart/2005/8/layout/hChevron3" loCatId="process" qsTypeId="urn:microsoft.com/office/officeart/2005/8/quickstyle/simple5" qsCatId="simple" csTypeId="urn:microsoft.com/office/officeart/2005/8/colors/colorful5" csCatId="colorful" phldr="1"/>
      <dgm:spPr/>
      <dgm:t>
        <a:bodyPr/>
        <a:lstStyle/>
        <a:p>
          <a:endParaRPr lang="tr-TR"/>
        </a:p>
      </dgm:t>
    </dgm:pt>
    <dgm:pt modelId="{783A5EC3-6B11-4673-9C81-3985D886F97D}">
      <dgm:prSet phldrT="[Metin]"/>
      <dgm:spPr/>
      <dgm:t>
        <a:bodyPr/>
        <a:lstStyle/>
        <a:p>
          <a:r>
            <a:rPr lang="tr-TR" b="1" i="0" dirty="0" smtClean="0">
              <a:solidFill>
                <a:sysClr val="windowText" lastClr="000000"/>
              </a:solidFill>
            </a:rPr>
            <a:t>Cilt </a:t>
          </a:r>
        </a:p>
        <a:p>
          <a:r>
            <a:rPr lang="tr-TR" b="1" i="0" dirty="0" smtClean="0">
              <a:solidFill>
                <a:sysClr val="windowText" lastClr="000000"/>
              </a:solidFill>
            </a:rPr>
            <a:t>(koltuk altı, alın)</a:t>
          </a:r>
          <a:endParaRPr lang="tr-TR" b="1" dirty="0">
            <a:solidFill>
              <a:sysClr val="windowText" lastClr="000000"/>
            </a:solidFill>
          </a:endParaRPr>
        </a:p>
      </dgm:t>
    </dgm:pt>
    <dgm:pt modelId="{EC17895C-A1EC-4DFE-BB91-6F3D9E63ECA2}" type="parTrans" cxnId="{C6969DFB-6418-4ECA-8700-496956D3401C}">
      <dgm:prSet/>
      <dgm:spPr/>
      <dgm:t>
        <a:bodyPr/>
        <a:lstStyle/>
        <a:p>
          <a:endParaRPr lang="tr-TR"/>
        </a:p>
      </dgm:t>
    </dgm:pt>
    <dgm:pt modelId="{B76FF82D-F557-4B9D-B9F7-619CDA50F01C}" type="sibTrans" cxnId="{C6969DFB-6418-4ECA-8700-496956D3401C}">
      <dgm:prSet/>
      <dgm:spPr/>
      <dgm:t>
        <a:bodyPr/>
        <a:lstStyle/>
        <a:p>
          <a:endParaRPr lang="tr-TR"/>
        </a:p>
      </dgm:t>
    </dgm:pt>
    <dgm:pt modelId="{5A65610E-E5B1-4474-B5AF-BDDA8D7009E5}">
      <dgm:prSet phldrT="[Metin]"/>
      <dgm:spPr/>
      <dgm:t>
        <a:bodyPr/>
        <a:lstStyle/>
        <a:p>
          <a:r>
            <a:rPr lang="tr-TR" b="1" i="0" dirty="0" smtClean="0">
              <a:solidFill>
                <a:sysClr val="windowText" lastClr="000000"/>
              </a:solidFill>
            </a:rPr>
            <a:t>Oral</a:t>
          </a:r>
          <a:endParaRPr lang="tr-TR" b="1" dirty="0">
            <a:solidFill>
              <a:sysClr val="windowText" lastClr="000000"/>
            </a:solidFill>
          </a:endParaRPr>
        </a:p>
      </dgm:t>
    </dgm:pt>
    <dgm:pt modelId="{E39DCA13-275E-4AD5-9605-F23BC789FBDF}" type="parTrans" cxnId="{16FB24EC-E341-47C9-9C05-796AB728D605}">
      <dgm:prSet/>
      <dgm:spPr/>
      <dgm:t>
        <a:bodyPr/>
        <a:lstStyle/>
        <a:p>
          <a:endParaRPr lang="tr-TR"/>
        </a:p>
      </dgm:t>
    </dgm:pt>
    <dgm:pt modelId="{43CF0E87-AF27-4A68-BE58-37223D7D7461}" type="sibTrans" cxnId="{16FB24EC-E341-47C9-9C05-796AB728D605}">
      <dgm:prSet/>
      <dgm:spPr/>
      <dgm:t>
        <a:bodyPr/>
        <a:lstStyle/>
        <a:p>
          <a:endParaRPr lang="tr-TR"/>
        </a:p>
      </dgm:t>
    </dgm:pt>
    <dgm:pt modelId="{CDB07054-6CB3-41CC-AA59-B4F5C551FFB5}">
      <dgm:prSet phldrT="[Metin]"/>
      <dgm:spPr/>
      <dgm:t>
        <a:bodyPr/>
        <a:lstStyle/>
        <a:p>
          <a:r>
            <a:rPr lang="tr-TR" b="1" i="0" dirty="0" smtClean="0">
              <a:solidFill>
                <a:sysClr val="windowText" lastClr="000000"/>
              </a:solidFill>
            </a:rPr>
            <a:t>T</a:t>
          </a:r>
          <a:r>
            <a:rPr lang="es-ES" b="1" i="0" dirty="0" smtClean="0">
              <a:solidFill>
                <a:sysClr val="windowText" lastClr="000000"/>
              </a:solidFill>
            </a:rPr>
            <a:t>impanik</a:t>
          </a:r>
          <a:endParaRPr lang="tr-TR" b="1" dirty="0">
            <a:solidFill>
              <a:sysClr val="windowText" lastClr="000000"/>
            </a:solidFill>
          </a:endParaRPr>
        </a:p>
      </dgm:t>
    </dgm:pt>
    <dgm:pt modelId="{4F72D0F0-11ED-4E5A-B81B-59E5A052E121}" type="parTrans" cxnId="{D3BDBF96-95D0-44B4-A83B-B5888E097AB0}">
      <dgm:prSet/>
      <dgm:spPr/>
      <dgm:t>
        <a:bodyPr/>
        <a:lstStyle/>
        <a:p>
          <a:endParaRPr lang="tr-TR"/>
        </a:p>
      </dgm:t>
    </dgm:pt>
    <dgm:pt modelId="{BFA2D2AE-FE94-4C96-B406-86549CEEA37A}" type="sibTrans" cxnId="{D3BDBF96-95D0-44B4-A83B-B5888E097AB0}">
      <dgm:prSet/>
      <dgm:spPr/>
      <dgm:t>
        <a:bodyPr/>
        <a:lstStyle/>
        <a:p>
          <a:endParaRPr lang="tr-TR"/>
        </a:p>
      </dgm:t>
    </dgm:pt>
    <dgm:pt modelId="{15FF9B94-04D4-4F00-84F3-0BF592BDAB25}">
      <dgm:prSet phldrT="[Metin]"/>
      <dgm:spPr/>
      <dgm:t>
        <a:bodyPr/>
        <a:lstStyle/>
        <a:p>
          <a:r>
            <a:rPr lang="tr-TR" b="1" i="0" dirty="0" smtClean="0">
              <a:solidFill>
                <a:sysClr val="windowText" lastClr="000000"/>
              </a:solidFill>
            </a:rPr>
            <a:t>R</a:t>
          </a:r>
          <a:r>
            <a:rPr lang="es-ES" b="1" i="0" dirty="0" smtClean="0">
              <a:solidFill>
                <a:sysClr val="windowText" lastClr="000000"/>
              </a:solidFill>
            </a:rPr>
            <a:t>ektal</a:t>
          </a:r>
          <a:endParaRPr lang="tr-TR" b="1" dirty="0">
            <a:solidFill>
              <a:sysClr val="windowText" lastClr="000000"/>
            </a:solidFill>
          </a:endParaRPr>
        </a:p>
      </dgm:t>
    </dgm:pt>
    <dgm:pt modelId="{3D8253DB-F054-4DA9-BFB3-281C22C0BE9E}" type="parTrans" cxnId="{1106D7B4-5403-48D4-8C08-635FB555161C}">
      <dgm:prSet/>
      <dgm:spPr/>
      <dgm:t>
        <a:bodyPr/>
        <a:lstStyle/>
        <a:p>
          <a:endParaRPr lang="tr-TR"/>
        </a:p>
      </dgm:t>
    </dgm:pt>
    <dgm:pt modelId="{BD065FB5-9234-48EF-8A04-3F86DDDA9BB8}" type="sibTrans" cxnId="{1106D7B4-5403-48D4-8C08-635FB555161C}">
      <dgm:prSet/>
      <dgm:spPr/>
      <dgm:t>
        <a:bodyPr/>
        <a:lstStyle/>
        <a:p>
          <a:endParaRPr lang="tr-TR"/>
        </a:p>
      </dgm:t>
    </dgm:pt>
    <dgm:pt modelId="{13A06A78-694C-4923-8D22-EB16B541F428}" type="pres">
      <dgm:prSet presAssocID="{E4DEB23A-269D-4B7E-8D10-44379C921F69}" presName="Name0" presStyleCnt="0">
        <dgm:presLayoutVars>
          <dgm:dir/>
          <dgm:resizeHandles val="exact"/>
        </dgm:presLayoutVars>
      </dgm:prSet>
      <dgm:spPr/>
      <dgm:t>
        <a:bodyPr/>
        <a:lstStyle/>
        <a:p>
          <a:endParaRPr lang="tr-TR"/>
        </a:p>
      </dgm:t>
    </dgm:pt>
    <dgm:pt modelId="{6D9DA187-CF82-4BAB-BCD7-71A6679F75F4}" type="pres">
      <dgm:prSet presAssocID="{783A5EC3-6B11-4673-9C81-3985D886F97D}" presName="parTxOnly" presStyleLbl="node1" presStyleIdx="0" presStyleCnt="4">
        <dgm:presLayoutVars>
          <dgm:bulletEnabled val="1"/>
        </dgm:presLayoutVars>
      </dgm:prSet>
      <dgm:spPr/>
      <dgm:t>
        <a:bodyPr/>
        <a:lstStyle/>
        <a:p>
          <a:endParaRPr lang="tr-TR"/>
        </a:p>
      </dgm:t>
    </dgm:pt>
    <dgm:pt modelId="{59C317D2-4451-4598-8AF5-C1A6EEE4D04F}" type="pres">
      <dgm:prSet presAssocID="{B76FF82D-F557-4B9D-B9F7-619CDA50F01C}" presName="parSpace" presStyleCnt="0"/>
      <dgm:spPr/>
      <dgm:t>
        <a:bodyPr/>
        <a:lstStyle/>
        <a:p>
          <a:endParaRPr lang="tr-TR"/>
        </a:p>
      </dgm:t>
    </dgm:pt>
    <dgm:pt modelId="{B05BF8E3-75A6-449B-AE60-DC41E47CACC0}" type="pres">
      <dgm:prSet presAssocID="{5A65610E-E5B1-4474-B5AF-BDDA8D7009E5}" presName="parTxOnly" presStyleLbl="node1" presStyleIdx="1" presStyleCnt="4">
        <dgm:presLayoutVars>
          <dgm:bulletEnabled val="1"/>
        </dgm:presLayoutVars>
      </dgm:prSet>
      <dgm:spPr/>
      <dgm:t>
        <a:bodyPr/>
        <a:lstStyle/>
        <a:p>
          <a:endParaRPr lang="tr-TR"/>
        </a:p>
      </dgm:t>
    </dgm:pt>
    <dgm:pt modelId="{5D3B1BAF-C386-4370-AE78-057F237D6479}" type="pres">
      <dgm:prSet presAssocID="{43CF0E87-AF27-4A68-BE58-37223D7D7461}" presName="parSpace" presStyleCnt="0"/>
      <dgm:spPr/>
      <dgm:t>
        <a:bodyPr/>
        <a:lstStyle/>
        <a:p>
          <a:endParaRPr lang="tr-TR"/>
        </a:p>
      </dgm:t>
    </dgm:pt>
    <dgm:pt modelId="{435C74A2-AC02-485A-BA06-12DC042BFF56}" type="pres">
      <dgm:prSet presAssocID="{CDB07054-6CB3-41CC-AA59-B4F5C551FFB5}" presName="parTxOnly" presStyleLbl="node1" presStyleIdx="2" presStyleCnt="4">
        <dgm:presLayoutVars>
          <dgm:bulletEnabled val="1"/>
        </dgm:presLayoutVars>
      </dgm:prSet>
      <dgm:spPr/>
      <dgm:t>
        <a:bodyPr/>
        <a:lstStyle/>
        <a:p>
          <a:endParaRPr lang="tr-TR"/>
        </a:p>
      </dgm:t>
    </dgm:pt>
    <dgm:pt modelId="{D4B82E7D-0337-4318-B1D9-AEB5FD847BFC}" type="pres">
      <dgm:prSet presAssocID="{BFA2D2AE-FE94-4C96-B406-86549CEEA37A}" presName="parSpace" presStyleCnt="0"/>
      <dgm:spPr/>
      <dgm:t>
        <a:bodyPr/>
        <a:lstStyle/>
        <a:p>
          <a:endParaRPr lang="tr-TR"/>
        </a:p>
      </dgm:t>
    </dgm:pt>
    <dgm:pt modelId="{E950D486-2A47-4D21-9371-F9FD1E54F71E}" type="pres">
      <dgm:prSet presAssocID="{15FF9B94-04D4-4F00-84F3-0BF592BDAB25}" presName="parTxOnly" presStyleLbl="node1" presStyleIdx="3" presStyleCnt="4">
        <dgm:presLayoutVars>
          <dgm:bulletEnabled val="1"/>
        </dgm:presLayoutVars>
      </dgm:prSet>
      <dgm:spPr/>
      <dgm:t>
        <a:bodyPr/>
        <a:lstStyle/>
        <a:p>
          <a:endParaRPr lang="tr-TR"/>
        </a:p>
      </dgm:t>
    </dgm:pt>
  </dgm:ptLst>
  <dgm:cxnLst>
    <dgm:cxn modelId="{1106D7B4-5403-48D4-8C08-635FB555161C}" srcId="{E4DEB23A-269D-4B7E-8D10-44379C921F69}" destId="{15FF9B94-04D4-4F00-84F3-0BF592BDAB25}" srcOrd="3" destOrd="0" parTransId="{3D8253DB-F054-4DA9-BFB3-281C22C0BE9E}" sibTransId="{BD065FB5-9234-48EF-8A04-3F86DDDA9BB8}"/>
    <dgm:cxn modelId="{B9C14CF4-DCF1-4B89-88DB-F5046340994B}" type="presOf" srcId="{783A5EC3-6B11-4673-9C81-3985D886F97D}" destId="{6D9DA187-CF82-4BAB-BCD7-71A6679F75F4}" srcOrd="0" destOrd="0" presId="urn:microsoft.com/office/officeart/2005/8/layout/hChevron3"/>
    <dgm:cxn modelId="{3CD175AD-B98A-4D70-BD66-26A71141F70C}" type="presOf" srcId="{5A65610E-E5B1-4474-B5AF-BDDA8D7009E5}" destId="{B05BF8E3-75A6-449B-AE60-DC41E47CACC0}" srcOrd="0" destOrd="0" presId="urn:microsoft.com/office/officeart/2005/8/layout/hChevron3"/>
    <dgm:cxn modelId="{C6969DFB-6418-4ECA-8700-496956D3401C}" srcId="{E4DEB23A-269D-4B7E-8D10-44379C921F69}" destId="{783A5EC3-6B11-4673-9C81-3985D886F97D}" srcOrd="0" destOrd="0" parTransId="{EC17895C-A1EC-4DFE-BB91-6F3D9E63ECA2}" sibTransId="{B76FF82D-F557-4B9D-B9F7-619CDA50F01C}"/>
    <dgm:cxn modelId="{16FB24EC-E341-47C9-9C05-796AB728D605}" srcId="{E4DEB23A-269D-4B7E-8D10-44379C921F69}" destId="{5A65610E-E5B1-4474-B5AF-BDDA8D7009E5}" srcOrd="1" destOrd="0" parTransId="{E39DCA13-275E-4AD5-9605-F23BC789FBDF}" sibTransId="{43CF0E87-AF27-4A68-BE58-37223D7D7461}"/>
    <dgm:cxn modelId="{C46470F6-A5A8-434E-9A4C-BD3B4D639A55}" type="presOf" srcId="{E4DEB23A-269D-4B7E-8D10-44379C921F69}" destId="{13A06A78-694C-4923-8D22-EB16B541F428}" srcOrd="0" destOrd="0" presId="urn:microsoft.com/office/officeart/2005/8/layout/hChevron3"/>
    <dgm:cxn modelId="{AA0D2CE0-4720-4890-9009-3B9DB5C92E9A}" type="presOf" srcId="{CDB07054-6CB3-41CC-AA59-B4F5C551FFB5}" destId="{435C74A2-AC02-485A-BA06-12DC042BFF56}" srcOrd="0" destOrd="0" presId="urn:microsoft.com/office/officeart/2005/8/layout/hChevron3"/>
    <dgm:cxn modelId="{64C11C04-B215-4867-BE0D-934D409FB707}" type="presOf" srcId="{15FF9B94-04D4-4F00-84F3-0BF592BDAB25}" destId="{E950D486-2A47-4D21-9371-F9FD1E54F71E}" srcOrd="0" destOrd="0" presId="urn:microsoft.com/office/officeart/2005/8/layout/hChevron3"/>
    <dgm:cxn modelId="{D3BDBF96-95D0-44B4-A83B-B5888E097AB0}" srcId="{E4DEB23A-269D-4B7E-8D10-44379C921F69}" destId="{CDB07054-6CB3-41CC-AA59-B4F5C551FFB5}" srcOrd="2" destOrd="0" parTransId="{4F72D0F0-11ED-4E5A-B81B-59E5A052E121}" sibTransId="{BFA2D2AE-FE94-4C96-B406-86549CEEA37A}"/>
    <dgm:cxn modelId="{EE3C5DE4-2A38-4C2C-B8BA-7A89144705D3}" type="presParOf" srcId="{13A06A78-694C-4923-8D22-EB16B541F428}" destId="{6D9DA187-CF82-4BAB-BCD7-71A6679F75F4}" srcOrd="0" destOrd="0" presId="urn:microsoft.com/office/officeart/2005/8/layout/hChevron3"/>
    <dgm:cxn modelId="{55A184AD-9884-4955-AE7A-278455E05BE5}" type="presParOf" srcId="{13A06A78-694C-4923-8D22-EB16B541F428}" destId="{59C317D2-4451-4598-8AF5-C1A6EEE4D04F}" srcOrd="1" destOrd="0" presId="urn:microsoft.com/office/officeart/2005/8/layout/hChevron3"/>
    <dgm:cxn modelId="{3C3C34A7-F669-419B-A569-4CA863AC53D9}" type="presParOf" srcId="{13A06A78-694C-4923-8D22-EB16B541F428}" destId="{B05BF8E3-75A6-449B-AE60-DC41E47CACC0}" srcOrd="2" destOrd="0" presId="urn:microsoft.com/office/officeart/2005/8/layout/hChevron3"/>
    <dgm:cxn modelId="{EBC079A3-D16A-4A31-A80F-0142283A726F}" type="presParOf" srcId="{13A06A78-694C-4923-8D22-EB16B541F428}" destId="{5D3B1BAF-C386-4370-AE78-057F237D6479}" srcOrd="3" destOrd="0" presId="urn:microsoft.com/office/officeart/2005/8/layout/hChevron3"/>
    <dgm:cxn modelId="{1496D7CC-FA67-49A7-A89C-9202F273A431}" type="presParOf" srcId="{13A06A78-694C-4923-8D22-EB16B541F428}" destId="{435C74A2-AC02-485A-BA06-12DC042BFF56}" srcOrd="4" destOrd="0" presId="urn:microsoft.com/office/officeart/2005/8/layout/hChevron3"/>
    <dgm:cxn modelId="{F7435F1F-3019-4AA4-B72F-E1CEDE34ABE9}" type="presParOf" srcId="{13A06A78-694C-4923-8D22-EB16B541F428}" destId="{D4B82E7D-0337-4318-B1D9-AEB5FD847BFC}" srcOrd="5" destOrd="0" presId="urn:microsoft.com/office/officeart/2005/8/layout/hChevron3"/>
    <dgm:cxn modelId="{66074D91-4A84-4E22-ADA1-41C8E5F0D4AF}" type="presParOf" srcId="{13A06A78-694C-4923-8D22-EB16B541F428}" destId="{E950D486-2A47-4D21-9371-F9FD1E54F71E}" srcOrd="6"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DA187-CF82-4BAB-BCD7-71A6679F75F4}">
      <dsp:nvSpPr>
        <dsp:cNvPr id="0" name=""/>
        <dsp:cNvSpPr/>
      </dsp:nvSpPr>
      <dsp:spPr>
        <a:xfrm>
          <a:off x="1607" y="172759"/>
          <a:ext cx="1612701" cy="645080"/>
        </a:xfrm>
        <a:prstGeom prst="homePlat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tr-TR" sz="1500" b="1" i="0" kern="1200" dirty="0" smtClean="0">
              <a:solidFill>
                <a:sysClr val="windowText" lastClr="000000"/>
              </a:solidFill>
            </a:rPr>
            <a:t>Cilt </a:t>
          </a:r>
        </a:p>
        <a:p>
          <a:pPr lvl="0" algn="ctr" defTabSz="666750">
            <a:lnSpc>
              <a:spcPct val="90000"/>
            </a:lnSpc>
            <a:spcBef>
              <a:spcPct val="0"/>
            </a:spcBef>
            <a:spcAft>
              <a:spcPct val="35000"/>
            </a:spcAft>
          </a:pPr>
          <a:r>
            <a:rPr lang="tr-TR" sz="1500" b="1" i="0" kern="1200" dirty="0" smtClean="0">
              <a:solidFill>
                <a:sysClr val="windowText" lastClr="000000"/>
              </a:solidFill>
            </a:rPr>
            <a:t>(koltuk altı, alın)</a:t>
          </a:r>
          <a:endParaRPr lang="tr-TR" sz="1500" b="1" kern="1200" dirty="0">
            <a:solidFill>
              <a:sysClr val="windowText" lastClr="000000"/>
            </a:solidFill>
          </a:endParaRPr>
        </a:p>
      </dsp:txBody>
      <dsp:txXfrm>
        <a:off x="1607" y="172759"/>
        <a:ext cx="1451431" cy="645080"/>
      </dsp:txXfrm>
    </dsp:sp>
    <dsp:sp modelId="{B05BF8E3-75A6-449B-AE60-DC41E47CACC0}">
      <dsp:nvSpPr>
        <dsp:cNvPr id="0" name=""/>
        <dsp:cNvSpPr/>
      </dsp:nvSpPr>
      <dsp:spPr>
        <a:xfrm>
          <a:off x="1291768" y="172759"/>
          <a:ext cx="1612701" cy="645080"/>
        </a:xfrm>
        <a:prstGeom prst="chevron">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tr-TR" sz="1500" b="1" i="0" kern="1200" dirty="0" smtClean="0">
              <a:solidFill>
                <a:sysClr val="windowText" lastClr="000000"/>
              </a:solidFill>
            </a:rPr>
            <a:t>Oral</a:t>
          </a:r>
          <a:endParaRPr lang="tr-TR" sz="1500" b="1" kern="1200" dirty="0">
            <a:solidFill>
              <a:sysClr val="windowText" lastClr="000000"/>
            </a:solidFill>
          </a:endParaRPr>
        </a:p>
      </dsp:txBody>
      <dsp:txXfrm>
        <a:off x="1614308" y="172759"/>
        <a:ext cx="967621" cy="645080"/>
      </dsp:txXfrm>
    </dsp:sp>
    <dsp:sp modelId="{435C74A2-AC02-485A-BA06-12DC042BFF56}">
      <dsp:nvSpPr>
        <dsp:cNvPr id="0" name=""/>
        <dsp:cNvSpPr/>
      </dsp:nvSpPr>
      <dsp:spPr>
        <a:xfrm>
          <a:off x="2581929" y="172759"/>
          <a:ext cx="1612701" cy="645080"/>
        </a:xfrm>
        <a:prstGeom prst="chevron">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tr-TR" sz="1500" b="1" i="0" kern="1200" dirty="0" smtClean="0">
              <a:solidFill>
                <a:sysClr val="windowText" lastClr="000000"/>
              </a:solidFill>
            </a:rPr>
            <a:t>T</a:t>
          </a:r>
          <a:r>
            <a:rPr lang="es-ES" sz="1500" b="1" i="0" kern="1200" dirty="0" smtClean="0">
              <a:solidFill>
                <a:sysClr val="windowText" lastClr="000000"/>
              </a:solidFill>
            </a:rPr>
            <a:t>impanik</a:t>
          </a:r>
          <a:endParaRPr lang="tr-TR" sz="1500" b="1" kern="1200" dirty="0">
            <a:solidFill>
              <a:sysClr val="windowText" lastClr="000000"/>
            </a:solidFill>
          </a:endParaRPr>
        </a:p>
      </dsp:txBody>
      <dsp:txXfrm>
        <a:off x="2904469" y="172759"/>
        <a:ext cx="967621" cy="645080"/>
      </dsp:txXfrm>
    </dsp:sp>
    <dsp:sp modelId="{E950D486-2A47-4D21-9371-F9FD1E54F71E}">
      <dsp:nvSpPr>
        <dsp:cNvPr id="0" name=""/>
        <dsp:cNvSpPr/>
      </dsp:nvSpPr>
      <dsp:spPr>
        <a:xfrm>
          <a:off x="3872091" y="172759"/>
          <a:ext cx="1612701" cy="645080"/>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tr-TR" sz="1500" b="1" i="0" kern="1200" dirty="0" smtClean="0">
              <a:solidFill>
                <a:sysClr val="windowText" lastClr="000000"/>
              </a:solidFill>
            </a:rPr>
            <a:t>R</a:t>
          </a:r>
          <a:r>
            <a:rPr lang="es-ES" sz="1500" b="1" i="0" kern="1200" dirty="0" smtClean="0">
              <a:solidFill>
                <a:sysClr val="windowText" lastClr="000000"/>
              </a:solidFill>
            </a:rPr>
            <a:t>ektal</a:t>
          </a:r>
          <a:endParaRPr lang="tr-TR" sz="1500" b="1" kern="1200" dirty="0">
            <a:solidFill>
              <a:sysClr val="windowText" lastClr="000000"/>
            </a:solidFill>
          </a:endParaRPr>
        </a:p>
      </dsp:txBody>
      <dsp:txXfrm>
        <a:off x="4194631" y="172759"/>
        <a:ext cx="967621" cy="64508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75C1-B4F1-4A5F-AC89-2B01D433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7</Pages>
  <Words>1479</Words>
  <Characters>8435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114</cp:revision>
  <cp:lastPrinted>2023-10-09T08:30:00Z</cp:lastPrinted>
  <dcterms:created xsi:type="dcterms:W3CDTF">2023-09-26T05:53:00Z</dcterms:created>
  <dcterms:modified xsi:type="dcterms:W3CDTF">2023-10-09T08:31:00Z</dcterms:modified>
</cp:coreProperties>
</file>